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18" w:rsidRDefault="004F2011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 xml:space="preserve"> 2019年度上诉案件被发改情况分析</w:t>
      </w:r>
    </w:p>
    <w:p w:rsidR="003E6518" w:rsidRDefault="004F2011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无棣县人民法院</w:t>
      </w:r>
    </w:p>
    <w:p w:rsidR="003E6518" w:rsidRDefault="004F201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了解我院上诉被发改案件的具体情况，获取被发改案件的原因、构成及存在问题，以期为解决被发改案件中存在的共性问题提供参考，结合中院2019年一至四季度《关于基层法院发回重审、改判案件有关情况的通报》中发改案件数据及2019年度我院上诉移送案件数据，特分析如下：</w:t>
      </w:r>
    </w:p>
    <w:p w:rsidR="003E6518" w:rsidRDefault="004F2011">
      <w:pPr>
        <w:numPr>
          <w:ilvl w:val="0"/>
          <w:numId w:val="1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整体情况</w:t>
      </w:r>
    </w:p>
    <w:p w:rsidR="003E6518" w:rsidRDefault="004F2011">
      <w:pPr>
        <w:ind w:firstLineChars="200" w:firstLine="640"/>
        <w:rPr>
          <w:rFonts w:ascii="黑体" w:eastAsia="仿宋" w:hAnsi="黑体" w:cs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2019年，</w:t>
      </w:r>
      <w:r w:rsidR="00FB7696"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院被发改案件共计70件，民事案件51件、刑事10件、行政3件、执行3件、民事再审2件、民事抗诉1件。涉及民事案由23</w:t>
      </w:r>
      <w:r w:rsidR="00FB7696">
        <w:rPr>
          <w:rFonts w:ascii="仿宋" w:eastAsia="仿宋" w:hAnsi="仿宋" w:hint="eastAsia"/>
          <w:sz w:val="32"/>
          <w:szCs w:val="32"/>
        </w:rPr>
        <w:t>个，</w:t>
      </w:r>
      <w:r>
        <w:rPr>
          <w:rFonts w:ascii="仿宋" w:eastAsia="仿宋" w:hAnsi="仿宋" w:hint="eastAsia"/>
          <w:sz w:val="32"/>
          <w:szCs w:val="32"/>
        </w:rPr>
        <w:t>刑事案由7个、行政案由3个、执行案由2个。</w:t>
      </w:r>
      <w:r w:rsidR="00FB7696">
        <w:rPr>
          <w:rFonts w:ascii="仿宋" w:eastAsia="仿宋" w:hAnsi="仿宋" w:hint="eastAsia"/>
          <w:sz w:val="32"/>
          <w:szCs w:val="32"/>
        </w:rPr>
        <w:t>发改原因涉及认定事实不清45件、适用法律错误14件、出现新证据7件、程序违法4件。</w:t>
      </w:r>
    </w:p>
    <w:p w:rsidR="003E6518" w:rsidRDefault="004F2011">
      <w:pPr>
        <w:ind w:firstLineChars="150" w:firstLine="315"/>
      </w:pPr>
      <w:r>
        <w:rPr>
          <w:noProof/>
        </w:rPr>
        <w:drawing>
          <wp:inline distT="0" distB="0" distL="114300" distR="114300">
            <wp:extent cx="4943475" cy="3308350"/>
            <wp:effectExtent l="4445" t="4445" r="5080" b="20955"/>
            <wp:docPr id="5134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E6518" w:rsidRDefault="004F2011">
      <w:pPr>
        <w:ind w:firstLineChars="250" w:firstLine="800"/>
      </w:pPr>
      <w:r>
        <w:rPr>
          <w:rFonts w:ascii="仿宋" w:eastAsia="仿宋" w:hAnsi="仿宋" w:hint="eastAsia"/>
          <w:sz w:val="32"/>
          <w:szCs w:val="32"/>
        </w:rPr>
        <w:lastRenderedPageBreak/>
        <w:t>如上图表1所示，被发改案件、上诉案件、结案三者在增减趋势上基本一致，与收案数趋势相差较大，故以下分析数据样本采取结案数。</w:t>
      </w:r>
    </w:p>
    <w:p w:rsidR="003E6518" w:rsidRDefault="004F2011">
      <w:pPr>
        <w:widowControl/>
        <w:jc w:val="center"/>
        <w:textAlignment w:val="bottom"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2、各类型案件上诉发改情况</w:t>
      </w:r>
    </w:p>
    <w:tbl>
      <w:tblPr>
        <w:tblW w:w="84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959"/>
        <w:gridCol w:w="960"/>
        <w:gridCol w:w="960"/>
        <w:gridCol w:w="960"/>
        <w:gridCol w:w="1351"/>
        <w:gridCol w:w="960"/>
        <w:gridCol w:w="1351"/>
      </w:tblGrid>
      <w:tr w:rsidR="003E6518">
        <w:trPr>
          <w:trHeight w:val="286"/>
        </w:trPr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类型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结案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上诉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发改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发回重审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二审改判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发改率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6518" w:rsidRDefault="004F201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上诉率</w:t>
            </w:r>
          </w:p>
        </w:tc>
      </w:tr>
      <w:tr w:rsidR="003E6518">
        <w:trPr>
          <w:trHeight w:val="286"/>
        </w:trPr>
        <w:tc>
          <w:tcPr>
            <w:tcW w:w="959" w:type="dxa"/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民事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4733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437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11.67%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3E6518" w:rsidRDefault="004F201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9.23%</w:t>
            </w:r>
          </w:p>
        </w:tc>
      </w:tr>
      <w:tr w:rsidR="003E6518">
        <w:trPr>
          <w:trHeight w:val="286"/>
        </w:trPr>
        <w:tc>
          <w:tcPr>
            <w:tcW w:w="959" w:type="dxa"/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刑事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31.25%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3E6518" w:rsidRDefault="004F201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9.17%</w:t>
            </w:r>
          </w:p>
        </w:tc>
      </w:tr>
      <w:tr w:rsidR="003E6518">
        <w:trPr>
          <w:trHeight w:val="286"/>
        </w:trPr>
        <w:tc>
          <w:tcPr>
            <w:tcW w:w="959" w:type="dxa"/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3E6518" w:rsidRDefault="000A0F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9.09%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3E6518" w:rsidRDefault="000A0F95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57.89</w:t>
            </w:r>
            <w:r w:rsidR="004F201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%</w:t>
            </w:r>
          </w:p>
        </w:tc>
      </w:tr>
      <w:tr w:rsidR="003E6518">
        <w:trPr>
          <w:trHeight w:val="286"/>
        </w:trPr>
        <w:tc>
          <w:tcPr>
            <w:tcW w:w="959" w:type="dxa"/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执行异议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60.00%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3E6518" w:rsidRDefault="004F201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19.23%</w:t>
            </w:r>
          </w:p>
        </w:tc>
      </w:tr>
      <w:tr w:rsidR="003E6518">
        <w:trPr>
          <w:trHeight w:val="286"/>
        </w:trPr>
        <w:tc>
          <w:tcPr>
            <w:tcW w:w="9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民再民抗</w:t>
            </w:r>
          </w:p>
        </w:tc>
        <w:tc>
          <w:tcPr>
            <w:tcW w:w="9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300.00%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3E6518" w:rsidRDefault="004F201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25.00%</w:t>
            </w:r>
          </w:p>
        </w:tc>
      </w:tr>
      <w:tr w:rsidR="003E6518">
        <w:trPr>
          <w:trHeight w:val="286"/>
        </w:trPr>
        <w:tc>
          <w:tcPr>
            <w:tcW w:w="9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9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="000A0F9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508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3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13.78%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6518" w:rsidRDefault="004F201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9.</w:t>
            </w:r>
            <w:r w:rsidR="000A0F9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4%</w:t>
            </w:r>
          </w:p>
        </w:tc>
      </w:tr>
    </w:tbl>
    <w:p w:rsidR="003E6518" w:rsidRDefault="004F2011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排除上诉案件与发改案件存在不同步的因素，从数量看（以下分析均同）。如上图表2</w:t>
      </w:r>
      <w:r w:rsidR="004B382E">
        <w:rPr>
          <w:rFonts w:ascii="仿宋" w:eastAsia="仿宋" w:hAnsi="仿宋" w:hint="eastAsia"/>
          <w:sz w:val="32"/>
          <w:szCs w:val="32"/>
        </w:rPr>
        <w:t>所示，上诉率方面，民事、刑事</w:t>
      </w:r>
      <w:r>
        <w:rPr>
          <w:rFonts w:ascii="仿宋" w:eastAsia="仿宋" w:hAnsi="仿宋" w:hint="eastAsia"/>
          <w:sz w:val="32"/>
          <w:szCs w:val="32"/>
        </w:rPr>
        <w:t>案件均在10%以下，</w:t>
      </w:r>
      <w:r w:rsidR="004B382E">
        <w:rPr>
          <w:rFonts w:ascii="仿宋" w:eastAsia="仿宋" w:hAnsi="仿宋" w:hint="eastAsia"/>
          <w:sz w:val="32"/>
          <w:szCs w:val="32"/>
        </w:rPr>
        <w:t>行政诉讼、</w:t>
      </w:r>
      <w:r>
        <w:rPr>
          <w:rFonts w:ascii="仿宋" w:eastAsia="仿宋" w:hAnsi="仿宋" w:hint="eastAsia"/>
          <w:sz w:val="32"/>
          <w:szCs w:val="32"/>
        </w:rPr>
        <w:t>执行异议案件与民事再审抗诉案件的上诉率均超过</w:t>
      </w:r>
      <w:r w:rsidR="002051EF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%；发改率方面，除行政案件10%以下，民事案件11.67%外，刑事案件超30%，执行异议案件为60%，民事再审抗诉案件因数量少，不具代表性暂不考虑。</w:t>
      </w:r>
    </w:p>
    <w:p w:rsidR="003E6518" w:rsidRDefault="0018693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民事案件，</w:t>
      </w:r>
      <w:r w:rsidR="004F2011">
        <w:rPr>
          <w:rFonts w:ascii="仿宋" w:eastAsia="仿宋" w:hAnsi="仿宋" w:hint="eastAsia"/>
          <w:sz w:val="32"/>
          <w:szCs w:val="32"/>
        </w:rPr>
        <w:t>结合结案案由前十位、上诉案由前十位、发改案由前十位，总体来看，相对比较分散。</w:t>
      </w:r>
    </w:p>
    <w:tbl>
      <w:tblPr>
        <w:tblW w:w="83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070"/>
        <w:gridCol w:w="690"/>
        <w:gridCol w:w="1605"/>
        <w:gridCol w:w="645"/>
        <w:gridCol w:w="2205"/>
        <w:gridCol w:w="630"/>
      </w:tblGrid>
      <w:tr w:rsidR="003E6518">
        <w:trPr>
          <w:trHeight w:val="286"/>
        </w:trPr>
        <w:tc>
          <w:tcPr>
            <w:tcW w:w="8370" w:type="dxa"/>
            <w:gridSpan w:val="7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3E6518" w:rsidRDefault="004F201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3、案件数量排名前十位民事案由</w:t>
            </w:r>
          </w:p>
        </w:tc>
      </w:tr>
      <w:tr w:rsidR="003E6518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518" w:rsidRDefault="004F201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结案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</w:tr>
      <w:tr w:rsidR="003E6518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518" w:rsidRDefault="004F201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机动车交通事故责任纠纷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买卖合同纠纷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离婚纠纷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</w:tr>
      <w:tr w:rsidR="003E6518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518" w:rsidRDefault="004F201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离婚纠纷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机动车交通事故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买卖合同纠纷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3E6518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518" w:rsidRDefault="004F201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民间借贷纠纷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民间借贷纠纷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财产保险合同纠纷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3E6518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518" w:rsidRDefault="004F201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分期付款买卖合同纠纷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征地补偿费分配纠纷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机动车交通事故责任纠纷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3E6518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518" w:rsidRDefault="004F201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金融借款合同纠纷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建设工程施工合同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承包地征收补偿费用分配纠纷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3E6518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518" w:rsidRDefault="004F201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劳务合同纠纷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离婚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分期付款买卖合同纠纷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3E6518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518" w:rsidRDefault="004F201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财产损失保险合同纠纷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财产保险合同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建设工程施工合同纠纷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3E6518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518" w:rsidRDefault="004F201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建设工程施工合同纠纷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劳动争议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健康权纠纷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3E6518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518" w:rsidRDefault="004F201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健康权纠纷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承揽合同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劳动争议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3E6518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518" w:rsidRDefault="004F201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追偿权纠纷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财产损害陪</w:t>
            </w:r>
            <w:r w:rsidR="00DF593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偿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民间借贷纠纷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3E6518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518" w:rsidRDefault="004F201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买卖合同纠纷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恢复原状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承揽合同纠纷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3E6518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518" w:rsidRDefault="004F201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定作合同纠纷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案外人异议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房屋租赁合同纠纷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3E6518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518" w:rsidRDefault="004F201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财产保险合同纠纷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健康权纠纷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抚养费纠纷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3E6518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518" w:rsidRDefault="004F201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建筑设备租赁合同纠纷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确认合同效力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合伙协议纠纷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3E6518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518" w:rsidRDefault="004F201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承包地征收补偿费用分配纠纷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不当得利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恢复原状纠纷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3E6518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518" w:rsidRDefault="004F201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保险人代位求偿权纠纷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追偿权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健康权纠纷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3E6518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518" w:rsidRDefault="004F201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财产损害赔偿纠纷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租赁合同纠纷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经济补偿金纠纷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3E6518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518" w:rsidRDefault="004F201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劳动争议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合伙协议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3E651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3E651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E6518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518" w:rsidRDefault="004F201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提供劳务者受害责任纠纷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金融借款合同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3E651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3E651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E6518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6518" w:rsidRDefault="004F2011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承揽合同纠纷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定作合同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3E651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3E651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3E6518" w:rsidRDefault="004F2011" w:rsidP="002257B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图表3所示：民事案由中，被发改案件超两件的案由有10个，涉及案由与上诉案由前十位基本吻合，均在结案案由前二十位。值得注意的是，离婚、买卖合同、财产保险合同、机动车交通事故责任纠纷四类案件被发放数超5件，占总发改案件的52.94%，其中买卖合同、财产保险合同两类案件的上诉率、发改率相较其他案由偏高，应注意一下。</w:t>
      </w:r>
    </w:p>
    <w:tbl>
      <w:tblPr>
        <w:tblW w:w="83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070"/>
        <w:gridCol w:w="690"/>
        <w:gridCol w:w="1605"/>
        <w:gridCol w:w="645"/>
        <w:gridCol w:w="2205"/>
        <w:gridCol w:w="630"/>
      </w:tblGrid>
      <w:tr w:rsidR="003E6518">
        <w:trPr>
          <w:trHeight w:val="286"/>
        </w:trPr>
        <w:tc>
          <w:tcPr>
            <w:tcW w:w="8370" w:type="dxa"/>
            <w:gridSpan w:val="7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3670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 w:rsidR="004F201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、案件数量排名前十位刑事案由</w:t>
            </w:r>
          </w:p>
        </w:tc>
      </w:tr>
      <w:tr w:rsidR="003E6518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结案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</w:tr>
      <w:tr w:rsidR="003E6518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危险驾驶罪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故意伤害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故意伤害罪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3E6518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故意伤害罪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盗窃罪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诈骗罪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3E6518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盗窃罪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寻衅滋事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生产、销售有毒、有害食品罪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3E6518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交通肇事罪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危险驾驶罪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贪污罪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3E6518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寻衅滋事罪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强奸罪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挪用公款罪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3E6518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诈骗罪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聚众斗殴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故意毁坏财物罪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3E6518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强奸罪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故意毁坏财物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骗取贷款、票据承兑、金融票证罪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3E6518">
        <w:trPr>
          <w:trHeight w:val="8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掩饰、隐瞒犯罪所得、犯罪所得收益罪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掩饰隐瞒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3E651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3E651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E6518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故意毁坏财物罪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猥亵儿童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3E651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3E651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E6518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聚众斗殴罪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骗取贷款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3E651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3E651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E6518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生产、销售有毒、有害食品罪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挪用公款罪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3E651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3E651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E6518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妨害公务罪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交通肇事罪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3E651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3E651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E6518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骗取贷款、票据承兑、金融票证罪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合同诈骗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3E651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3E651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E6518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抢劫罪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非法制毒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3E651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3E651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E6518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非法拘禁罪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非法拘禁罪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3E651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3E651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E6518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拒不执行判决、裁定罪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3E651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3E651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3E651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3E651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E6518">
        <w:trPr>
          <w:trHeight w:val="2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挪用公款罪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4F20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3E651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3E651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3E651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518" w:rsidRDefault="003E651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E20B83" w:rsidRDefault="004F2011" w:rsidP="00E20B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如图表</w:t>
      </w:r>
      <w:r w:rsidR="001350C0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所示：刑事案由比较集中，故意伤害罪结案47件，上诉6件，发改4件，均为二审改判，除1件为二审出现新证据外，其他3件均为原审认定事实不清，对故意伤害罪这一类案件，应注意一下。其他案由均为1件，暂不分析。</w:t>
      </w:r>
    </w:p>
    <w:p w:rsidR="003E6518" w:rsidRDefault="00367065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5</w:t>
      </w:r>
      <w:r w:rsidR="004F2011"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、行政、执行异议、民事再审抗诉被发改案件列表</w:t>
      </w:r>
    </w:p>
    <w:tbl>
      <w:tblPr>
        <w:tblW w:w="81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779"/>
        <w:gridCol w:w="1712"/>
        <w:gridCol w:w="1800"/>
        <w:gridCol w:w="1440"/>
        <w:gridCol w:w="1800"/>
      </w:tblGrid>
      <w:tr w:rsidR="00931961" w:rsidTr="00931961">
        <w:trPr>
          <w:trHeight w:val="49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类型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案号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案由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发改原因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发改类型</w:t>
            </w:r>
          </w:p>
        </w:tc>
      </w:tr>
      <w:tr w:rsidR="00931961" w:rsidTr="00931961">
        <w:trPr>
          <w:trHeight w:val="66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行政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（2019）鲁1623行初1号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不服强制性拆迁补偿决定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原审认定事实不清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二审改判</w:t>
            </w:r>
          </w:p>
        </w:tc>
      </w:tr>
      <w:tr w:rsidR="00931961" w:rsidTr="00931961">
        <w:trPr>
          <w:trHeight w:val="660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（2019）鲁1623行初28号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确权类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原审适用法律错误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二审改判</w:t>
            </w:r>
          </w:p>
        </w:tc>
      </w:tr>
      <w:tr w:rsidR="00931961" w:rsidTr="00931961">
        <w:trPr>
          <w:trHeight w:val="660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（2019）鲁1623行初14号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请求履行法定职责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原审适用法律错误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二审改判</w:t>
            </w:r>
          </w:p>
        </w:tc>
      </w:tr>
      <w:tr w:rsidR="00931961" w:rsidTr="00931961">
        <w:trPr>
          <w:trHeight w:val="66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执异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（2018）鲁1623执异18号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合同纠纷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原审认定事实不清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二审发回重审</w:t>
            </w:r>
          </w:p>
        </w:tc>
      </w:tr>
      <w:tr w:rsidR="00931961" w:rsidTr="00931961">
        <w:trPr>
          <w:trHeight w:val="660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（2018）鲁1623执异21号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合同纠纷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原审认定事实不清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二审发回重审</w:t>
            </w:r>
          </w:p>
        </w:tc>
      </w:tr>
      <w:tr w:rsidR="00931961" w:rsidTr="00931961">
        <w:trPr>
          <w:trHeight w:val="660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（2019）鲁1623执异3号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劳务合同纠纷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原审程序违法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二审发回重审</w:t>
            </w:r>
          </w:p>
        </w:tc>
      </w:tr>
      <w:tr w:rsidR="00931961" w:rsidTr="00931961">
        <w:trPr>
          <w:trHeight w:val="66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民再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（2017）鲁1623民初1523号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民间借贷纠纷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原审认定事实不清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再审改判</w:t>
            </w:r>
          </w:p>
        </w:tc>
      </w:tr>
      <w:tr w:rsidR="00931961" w:rsidTr="00931961">
        <w:trPr>
          <w:trHeight w:val="660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（2018）鲁1623民初1493号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恢复原状纠纷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再审期间出现新证据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再审改判</w:t>
            </w:r>
          </w:p>
        </w:tc>
      </w:tr>
      <w:tr w:rsidR="00931961" w:rsidTr="00931961">
        <w:trPr>
          <w:trHeight w:val="6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民抗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（2008）棣民初字第680号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征用海滩养殖补偿款纠纷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再审期间出现新证据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961" w:rsidRDefault="009319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再审指令再审</w:t>
            </w:r>
          </w:p>
        </w:tc>
      </w:tr>
    </w:tbl>
    <w:p w:rsidR="003E6518" w:rsidRDefault="004F2011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如图表</w:t>
      </w:r>
      <w:r w:rsidR="001350C0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所示：行政案件</w:t>
      </w:r>
      <w:r w:rsidR="00931961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件涉及</w:t>
      </w:r>
      <w:r w:rsidR="00931961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个案由，执行异议案件</w:t>
      </w:r>
      <w:r w:rsidR="00931961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件涉及</w:t>
      </w:r>
      <w:r w:rsidR="00931961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个案由，民事再审、抗诉共</w:t>
      </w:r>
      <w:r w:rsidR="00931961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件，涉及</w:t>
      </w:r>
      <w:r w:rsidR="00931961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个案由，以上三类案件样本较小不具有代表性，暂不做分析。</w:t>
      </w:r>
    </w:p>
    <w:p w:rsidR="003E6518" w:rsidRDefault="004F2011">
      <w:pPr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286375" cy="2838450"/>
            <wp:effectExtent l="0" t="0" r="9525" b="19050"/>
            <wp:docPr id="7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E6518" w:rsidRDefault="004F2011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如图表</w:t>
      </w:r>
      <w:r w:rsidR="001350C0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所示：发改原因方面，除因出现新证据等被发改案件7件外，因原审程序违法、适用法律错误、认定事实不清被发改案件占全部被发改案件的90%</w:t>
      </w:r>
      <w:r w:rsidR="00095AB7">
        <w:rPr>
          <w:rFonts w:ascii="仿宋" w:eastAsia="仿宋" w:hAnsi="仿宋" w:hint="eastAsia"/>
          <w:sz w:val="32"/>
          <w:szCs w:val="32"/>
        </w:rPr>
        <w:t>，其中因认定事实不清被发改案件占全部被发改案件的64% ，为主要原因。</w:t>
      </w:r>
    </w:p>
    <w:p w:rsidR="003E6518" w:rsidRDefault="004F2011">
      <w:pPr>
        <w:rPr>
          <w:rFonts w:ascii="仿宋" w:eastAsia="仿宋" w:hAnsi="仿宋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238115" cy="2656840"/>
            <wp:effectExtent l="0" t="0" r="19685" b="1016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E6518" w:rsidRDefault="004F201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发回重审方面，如图表</w:t>
      </w:r>
      <w:r w:rsidR="001350C0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所示：全年共计27件，其中民事22件，刑事2件，执行异议3</w:t>
      </w:r>
      <w:r w:rsidR="00BD53CF">
        <w:rPr>
          <w:rFonts w:ascii="仿宋" w:eastAsia="仿宋" w:hAnsi="仿宋" w:hint="eastAsia"/>
          <w:sz w:val="32"/>
          <w:szCs w:val="32"/>
        </w:rPr>
        <w:t>件。发回重申原因涉及三项为</w:t>
      </w:r>
      <w:r>
        <w:rPr>
          <w:rFonts w:ascii="仿宋" w:eastAsia="仿宋" w:hAnsi="仿宋" w:hint="eastAsia"/>
          <w:sz w:val="32"/>
          <w:szCs w:val="32"/>
        </w:rPr>
        <w:t>原审认定事实不清</w:t>
      </w:r>
      <w:r w:rsidR="00BD53CF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原审程序违法</w:t>
      </w:r>
      <w:r w:rsidR="00BD53CF">
        <w:rPr>
          <w:rFonts w:ascii="仿宋" w:eastAsia="仿宋" w:hAnsi="仿宋" w:hint="eastAsia"/>
          <w:sz w:val="32"/>
          <w:szCs w:val="32"/>
        </w:rPr>
        <w:t>，因出现新证据</w:t>
      </w:r>
      <w:r>
        <w:rPr>
          <w:rFonts w:ascii="仿宋" w:eastAsia="仿宋" w:hAnsi="仿宋" w:hint="eastAsia"/>
          <w:sz w:val="32"/>
          <w:szCs w:val="32"/>
        </w:rPr>
        <w:t>。</w:t>
      </w:r>
      <w:r w:rsidR="00BD53CF">
        <w:rPr>
          <w:rFonts w:ascii="仿宋" w:eastAsia="仿宋" w:hAnsi="仿宋" w:hint="eastAsia"/>
          <w:sz w:val="32"/>
          <w:szCs w:val="32"/>
        </w:rPr>
        <w:t>其中原审认定事实不清为民事案件发回重审的主要原因。</w:t>
      </w:r>
    </w:p>
    <w:p w:rsidR="003E6518" w:rsidRDefault="004F2011">
      <w:pPr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>
            <wp:extent cx="5544185" cy="3101975"/>
            <wp:effectExtent l="0" t="0" r="18415" b="2222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95AB7" w:rsidRDefault="004F201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如图表</w:t>
      </w:r>
      <w:r w:rsidR="001350C0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所示：民事案件共涉及13个案由，分别是离婚纠纷5件、买卖合同纠纷3件、机动车交通事故责任纠纷3件、健康权纠纷2件，其余案由各占1件。</w:t>
      </w:r>
    </w:p>
    <w:p w:rsidR="003E6518" w:rsidRDefault="004F201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刑事案件共涉及2个案由，分别为诈骗罪1件，生产、销售有毒、有害食品罪1件。执行异议案件共涉及3个案由，为合同纠纷2件，劳务合同纠纷1件。</w:t>
      </w:r>
    </w:p>
    <w:p w:rsidR="003E6518" w:rsidRDefault="004F2011">
      <w:pPr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247005" cy="2961640"/>
            <wp:effectExtent l="0" t="0" r="10795" b="10160"/>
            <wp:docPr id="8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E6518" w:rsidRDefault="004F201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如图表</w:t>
      </w:r>
      <w:r w:rsidR="001350C0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所示：二审改判方面，全年共计40件，其中民事29件，刑事8件，行政3件。改判原因共涉及三项，二审期间出现新证据，原审认定事实不清，原审适用法律错误</w:t>
      </w:r>
      <w:r w:rsidR="009C1F03">
        <w:rPr>
          <w:rFonts w:ascii="仿宋" w:eastAsia="仿宋" w:hAnsi="仿宋" w:hint="eastAsia"/>
          <w:sz w:val="32"/>
          <w:szCs w:val="32"/>
        </w:rPr>
        <w:t>。其中因事实不清、法律适用被改判</w:t>
      </w:r>
      <w:r>
        <w:rPr>
          <w:rFonts w:ascii="仿宋" w:eastAsia="仿宋" w:hAnsi="仿宋" w:hint="eastAsia"/>
          <w:sz w:val="32"/>
          <w:szCs w:val="32"/>
        </w:rPr>
        <w:t>共计36件，占</w:t>
      </w:r>
      <w:r w:rsidR="009C1F03">
        <w:rPr>
          <w:rFonts w:ascii="仿宋" w:eastAsia="仿宋" w:hAnsi="仿宋" w:hint="eastAsia"/>
          <w:sz w:val="32"/>
          <w:szCs w:val="32"/>
        </w:rPr>
        <w:t>全部被改判案件的</w:t>
      </w:r>
      <w:r>
        <w:rPr>
          <w:rFonts w:ascii="仿宋" w:eastAsia="仿宋" w:hAnsi="仿宋" w:hint="eastAsia"/>
          <w:sz w:val="32"/>
          <w:szCs w:val="32"/>
        </w:rPr>
        <w:t>90%</w:t>
      </w:r>
      <w:r w:rsidR="009C1F03">
        <w:rPr>
          <w:rFonts w:ascii="仿宋" w:eastAsia="仿宋" w:hAnsi="仿宋" w:hint="eastAsia"/>
          <w:sz w:val="32"/>
          <w:szCs w:val="32"/>
        </w:rPr>
        <w:t>，为主要原因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E6518" w:rsidRDefault="004F2011">
      <w:r>
        <w:rPr>
          <w:noProof/>
        </w:rPr>
        <w:lastRenderedPageBreak/>
        <w:drawing>
          <wp:inline distT="0" distB="0" distL="0" distR="0">
            <wp:extent cx="5479869" cy="3285309"/>
            <wp:effectExtent l="0" t="0" r="26035" b="10795"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E6518" w:rsidRDefault="004F201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如图表</w:t>
      </w:r>
      <w:r w:rsidR="001350C0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所示：民事案件共涉及16个案由，分别是买卖合同纠纷5件、财产保险合同纠纷4件、离婚纠纷4件、机动车交通事故纠纷2件、劳动争议 2件、民间借贷纠纷2件、其余案由各1件。</w:t>
      </w:r>
      <w:r w:rsidR="004C0A28">
        <w:rPr>
          <w:rFonts w:ascii="仿宋" w:eastAsia="仿宋" w:hAnsi="仿宋" w:hint="eastAsia"/>
          <w:sz w:val="32"/>
          <w:szCs w:val="32"/>
        </w:rPr>
        <w:t>买卖合同、财产保险、离婚纠纷三类案件占到全部被改判民事案件的44.83%，应重点注意下。</w:t>
      </w:r>
    </w:p>
    <w:p w:rsidR="003E6518" w:rsidRDefault="003E6518"/>
    <w:p w:rsidR="003E6518" w:rsidRDefault="004F2011">
      <w:pPr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>
            <wp:extent cx="5594169" cy="3091543"/>
            <wp:effectExtent l="0" t="0" r="26035" b="1397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E6518" w:rsidRDefault="004F2011" w:rsidP="006B38D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如图表</w:t>
      </w:r>
      <w:r w:rsidR="001350C0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所示：刑事案件共涉及5个案由，分别是故意伤害罪4件、其他案由各1件（贪污罪、挪用公款罪故意毁坏财物罪骗取贷款、票据承兑、金融票证罪）。</w:t>
      </w:r>
      <w:r w:rsidR="0033490A">
        <w:rPr>
          <w:rFonts w:ascii="仿宋" w:eastAsia="仿宋" w:hAnsi="仿宋" w:hint="eastAsia"/>
          <w:sz w:val="32"/>
          <w:szCs w:val="32"/>
        </w:rPr>
        <w:t>故意伤害罪案件占全部被改判刑事案件50%，应重点注意下。</w:t>
      </w:r>
    </w:p>
    <w:p w:rsidR="003E6518" w:rsidRDefault="004F2011" w:rsidP="006B38DB">
      <w:pPr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行政案件共涉及3个案由分别为不服强制性拆迁补偿决定、确权类、</w:t>
      </w:r>
      <w:r w:rsidR="0044444C">
        <w:rPr>
          <w:rFonts w:ascii="仿宋" w:eastAsia="仿宋" w:hAnsi="仿宋" w:hint="eastAsia"/>
          <w:sz w:val="32"/>
          <w:szCs w:val="32"/>
        </w:rPr>
        <w:t>请求履行法定职责</w:t>
      </w:r>
      <w:r>
        <w:rPr>
          <w:rFonts w:ascii="仿宋" w:eastAsia="仿宋" w:hAnsi="仿宋" w:hint="eastAsia"/>
          <w:sz w:val="32"/>
          <w:szCs w:val="32"/>
        </w:rPr>
        <w:t>各1件。</w:t>
      </w:r>
    </w:p>
    <w:p w:rsidR="003E6518" w:rsidRDefault="004F2011" w:rsidP="006B38D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二、存在</w:t>
      </w:r>
      <w:r w:rsidR="00D92726">
        <w:rPr>
          <w:rFonts w:ascii="黑体" w:eastAsia="黑体" w:hAnsi="黑体" w:cs="黑体" w:hint="eastAsia"/>
          <w:sz w:val="32"/>
          <w:szCs w:val="32"/>
        </w:rPr>
        <w:t>的</w:t>
      </w:r>
      <w:r>
        <w:rPr>
          <w:rFonts w:ascii="黑体" w:eastAsia="黑体" w:hAnsi="黑体" w:cs="黑体" w:hint="eastAsia"/>
          <w:sz w:val="32"/>
          <w:szCs w:val="32"/>
        </w:rPr>
        <w:t>问题</w:t>
      </w:r>
    </w:p>
    <w:p w:rsidR="003E6518" w:rsidRDefault="004F2011" w:rsidP="006B38D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在上述分析中，先后从收案、结案、上诉移送、涉及案由、发改原因及类别等角度对2019年度我院上诉被发改案件情况进行了阐述，现将存在的问题总结如下：</w:t>
      </w:r>
    </w:p>
    <w:p w:rsidR="003E6518" w:rsidRDefault="004F2011" w:rsidP="006B38D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（一）发改案件类型方面</w:t>
      </w:r>
    </w:p>
    <w:p w:rsidR="003E6518" w:rsidRDefault="009C6F56" w:rsidP="006B38D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从</w:t>
      </w:r>
      <w:r w:rsidR="004F2011">
        <w:rPr>
          <w:rFonts w:ascii="仿宋" w:eastAsia="仿宋" w:hAnsi="仿宋" w:hint="eastAsia"/>
          <w:sz w:val="32"/>
          <w:szCs w:val="32"/>
        </w:rPr>
        <w:t>发改率</w:t>
      </w:r>
      <w:r w:rsidR="009F687B">
        <w:rPr>
          <w:rFonts w:ascii="仿宋" w:eastAsia="仿宋" w:hAnsi="仿宋" w:hint="eastAsia"/>
          <w:sz w:val="32"/>
          <w:szCs w:val="32"/>
        </w:rPr>
        <w:t>来看，</w:t>
      </w:r>
      <w:r w:rsidR="004F2011">
        <w:rPr>
          <w:rFonts w:ascii="仿宋" w:eastAsia="仿宋" w:hAnsi="仿宋" w:hint="eastAsia"/>
          <w:sz w:val="32"/>
          <w:szCs w:val="32"/>
        </w:rPr>
        <w:t>除行政案件</w:t>
      </w:r>
      <w:r w:rsidR="005E46B9">
        <w:rPr>
          <w:rFonts w:ascii="仿宋" w:eastAsia="仿宋" w:hAnsi="仿宋" w:hint="eastAsia"/>
          <w:sz w:val="32"/>
          <w:szCs w:val="32"/>
        </w:rPr>
        <w:t>9.09%</w:t>
      </w:r>
      <w:r w:rsidR="004F2011">
        <w:rPr>
          <w:rFonts w:ascii="仿宋" w:eastAsia="仿宋" w:hAnsi="仿宋" w:hint="eastAsia"/>
          <w:sz w:val="32"/>
          <w:szCs w:val="32"/>
        </w:rPr>
        <w:t>，民事案件11.67%外，刑事案件超30%，执行异议案件为60%，应重点关注刑事及执行异议案件，特别是执行异议案件的发</w:t>
      </w:r>
      <w:r w:rsidR="00EB1D6D">
        <w:rPr>
          <w:rFonts w:ascii="仿宋" w:eastAsia="仿宋" w:hAnsi="仿宋" w:hint="eastAsia"/>
          <w:sz w:val="32"/>
          <w:szCs w:val="32"/>
        </w:rPr>
        <w:t>改</w:t>
      </w:r>
      <w:r w:rsidR="004F2011">
        <w:rPr>
          <w:rFonts w:ascii="仿宋" w:eastAsia="仿宋" w:hAnsi="仿宋" w:hint="eastAsia"/>
          <w:sz w:val="32"/>
          <w:szCs w:val="32"/>
        </w:rPr>
        <w:t>率高的原因。</w:t>
      </w:r>
    </w:p>
    <w:p w:rsidR="003E6518" w:rsidRDefault="004F2011" w:rsidP="006B38D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（二）发改案件涉及案由方面</w:t>
      </w:r>
    </w:p>
    <w:p w:rsidR="003E6518" w:rsidRDefault="004F2011" w:rsidP="009F16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一是民事案件离婚、买卖合同、财产保险合同、机动车交通事故责任纠纷四类案件被发</w:t>
      </w:r>
      <w:r w:rsidR="00DA5EFD">
        <w:rPr>
          <w:rFonts w:ascii="仿宋" w:eastAsia="仿宋" w:hAnsi="仿宋" w:hint="eastAsia"/>
          <w:sz w:val="32"/>
          <w:szCs w:val="32"/>
        </w:rPr>
        <w:t>改</w:t>
      </w:r>
      <w:r>
        <w:rPr>
          <w:rFonts w:ascii="仿宋" w:eastAsia="仿宋" w:hAnsi="仿宋" w:hint="eastAsia"/>
          <w:sz w:val="32"/>
          <w:szCs w:val="32"/>
        </w:rPr>
        <w:t>数超5件，占总发改案件的52.94%，其中买卖合同、财产保险合同两类案件的上诉率、发改率相较其他案由偏高，排除上述四类案件占全部民事案件的比例高原因外，应结合发改原因原审认定事实不清及适用法律错误，</w:t>
      </w:r>
      <w:r w:rsidR="007D0146">
        <w:rPr>
          <w:rFonts w:ascii="仿宋" w:eastAsia="仿宋" w:hAnsi="仿宋" w:hint="eastAsia"/>
          <w:sz w:val="32"/>
          <w:szCs w:val="32"/>
        </w:rPr>
        <w:t>深入分析</w:t>
      </w:r>
      <w:r>
        <w:rPr>
          <w:rFonts w:ascii="仿宋" w:eastAsia="仿宋" w:hAnsi="仿宋" w:hint="eastAsia"/>
          <w:sz w:val="32"/>
          <w:szCs w:val="32"/>
        </w:rPr>
        <w:t>。</w:t>
      </w:r>
      <w:r w:rsidR="009F16F7">
        <w:rPr>
          <w:rFonts w:ascii="仿宋" w:eastAsia="仿宋" w:hAnsi="仿宋" w:hint="eastAsia"/>
          <w:sz w:val="32"/>
          <w:szCs w:val="32"/>
        </w:rPr>
        <w:t>二是刑事案由比较集中，即故意伤害罪</w:t>
      </w:r>
      <w:r w:rsidR="00D679BD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应结合审判实际，降低此类案件发改率。</w:t>
      </w:r>
    </w:p>
    <w:p w:rsidR="003E6518" w:rsidRDefault="004F2011" w:rsidP="006B38D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（三）发改原因方面</w:t>
      </w:r>
    </w:p>
    <w:p w:rsidR="003E6518" w:rsidRDefault="004F2011" w:rsidP="006B38DB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被发改原因共四个：出现新证据等、原审程序违法、适用法律错误、认定事实不清。</w:t>
      </w:r>
      <w:r w:rsidR="00D525EA">
        <w:rPr>
          <w:rFonts w:ascii="仿宋" w:eastAsia="仿宋" w:hAnsi="仿宋" w:hint="eastAsia"/>
          <w:sz w:val="32"/>
          <w:szCs w:val="32"/>
        </w:rPr>
        <w:t>其中</w:t>
      </w:r>
      <w:r>
        <w:rPr>
          <w:rFonts w:ascii="仿宋" w:eastAsia="仿宋" w:hAnsi="仿宋" w:hint="eastAsia"/>
          <w:sz w:val="32"/>
          <w:szCs w:val="32"/>
        </w:rPr>
        <w:t>适用法律错误、认定事实不清二</w:t>
      </w:r>
      <w:r w:rsidR="00D525EA">
        <w:rPr>
          <w:rFonts w:ascii="仿宋" w:eastAsia="仿宋" w:hAnsi="仿宋" w:hint="eastAsia"/>
          <w:sz w:val="32"/>
          <w:szCs w:val="32"/>
        </w:rPr>
        <w:t>个</w:t>
      </w:r>
      <w:r>
        <w:rPr>
          <w:rFonts w:ascii="仿宋" w:eastAsia="仿宋" w:hAnsi="仿宋" w:hint="eastAsia"/>
          <w:sz w:val="32"/>
          <w:szCs w:val="32"/>
        </w:rPr>
        <w:t>原因</w:t>
      </w:r>
      <w:r w:rsidR="00D525EA">
        <w:rPr>
          <w:rFonts w:ascii="仿宋" w:eastAsia="仿宋" w:hAnsi="仿宋" w:hint="eastAsia"/>
          <w:sz w:val="32"/>
          <w:szCs w:val="32"/>
        </w:rPr>
        <w:t>比例为</w:t>
      </w:r>
      <w:r>
        <w:rPr>
          <w:rFonts w:ascii="仿宋" w:eastAsia="仿宋" w:hAnsi="仿宋" w:hint="eastAsia"/>
          <w:sz w:val="32"/>
          <w:szCs w:val="32"/>
        </w:rPr>
        <w:t>84%，对此</w:t>
      </w:r>
      <w:r w:rsidR="00805805">
        <w:rPr>
          <w:rFonts w:ascii="仿宋" w:eastAsia="仿宋" w:hAnsi="仿宋" w:hint="eastAsia"/>
          <w:sz w:val="32"/>
          <w:szCs w:val="32"/>
        </w:rPr>
        <w:t>在发改案件涉及案由方面中</w:t>
      </w:r>
      <w:r>
        <w:rPr>
          <w:rFonts w:ascii="仿宋" w:eastAsia="仿宋" w:hAnsi="仿宋" w:hint="eastAsia"/>
          <w:sz w:val="32"/>
          <w:szCs w:val="32"/>
        </w:rPr>
        <w:t>已做了阐述，</w:t>
      </w:r>
      <w:r w:rsidR="00D525EA">
        <w:rPr>
          <w:rFonts w:ascii="仿宋" w:eastAsia="仿宋" w:hAnsi="仿宋" w:hint="eastAsia"/>
          <w:sz w:val="32"/>
          <w:szCs w:val="32"/>
        </w:rPr>
        <w:t>不再赘述。因</w:t>
      </w:r>
      <w:r>
        <w:rPr>
          <w:rFonts w:ascii="仿宋" w:eastAsia="仿宋" w:hAnsi="仿宋" w:hint="eastAsia"/>
          <w:sz w:val="32"/>
          <w:szCs w:val="32"/>
        </w:rPr>
        <w:t>原审程序违法</w:t>
      </w:r>
      <w:r w:rsidR="00D525EA">
        <w:rPr>
          <w:rFonts w:ascii="仿宋" w:eastAsia="仿宋" w:hAnsi="仿宋" w:hint="eastAsia"/>
          <w:sz w:val="32"/>
          <w:szCs w:val="32"/>
        </w:rPr>
        <w:t>被发改案件中</w:t>
      </w:r>
      <w:r>
        <w:rPr>
          <w:rFonts w:ascii="仿宋" w:eastAsia="仿宋" w:hAnsi="仿宋" w:hint="eastAsia"/>
          <w:sz w:val="32"/>
          <w:szCs w:val="32"/>
        </w:rPr>
        <w:t>，</w:t>
      </w:r>
      <w:r w:rsidR="00367065">
        <w:rPr>
          <w:rFonts w:ascii="仿宋" w:eastAsia="仿宋" w:hAnsi="仿宋" w:hint="eastAsia"/>
          <w:sz w:val="32"/>
          <w:szCs w:val="32"/>
        </w:rPr>
        <w:t>原因主要涉及</w:t>
      </w:r>
      <w:r>
        <w:rPr>
          <w:rFonts w:ascii="仿宋" w:eastAsia="仿宋" w:hAnsi="仿宋" w:hint="eastAsia"/>
          <w:sz w:val="32"/>
          <w:szCs w:val="32"/>
        </w:rPr>
        <w:t>当事人</w:t>
      </w:r>
      <w:r w:rsidR="00367065">
        <w:rPr>
          <w:rFonts w:ascii="仿宋" w:eastAsia="仿宋" w:hAnsi="仿宋" w:hint="eastAsia"/>
          <w:sz w:val="32"/>
          <w:szCs w:val="32"/>
        </w:rPr>
        <w:t>追加</w:t>
      </w:r>
      <w:r>
        <w:rPr>
          <w:rFonts w:ascii="仿宋" w:eastAsia="仿宋" w:hAnsi="仿宋" w:hint="eastAsia"/>
          <w:sz w:val="32"/>
          <w:szCs w:val="32"/>
        </w:rPr>
        <w:t>、</w:t>
      </w:r>
      <w:r w:rsidR="00367065">
        <w:rPr>
          <w:rFonts w:ascii="仿宋" w:eastAsia="仿宋" w:hAnsi="仿宋" w:hint="eastAsia"/>
          <w:sz w:val="32"/>
          <w:szCs w:val="32"/>
        </w:rPr>
        <w:t>程序适用</w:t>
      </w:r>
      <w:r w:rsidR="00D86DF0">
        <w:rPr>
          <w:rFonts w:ascii="仿宋" w:eastAsia="仿宋" w:hAnsi="仿宋" w:hint="eastAsia"/>
          <w:sz w:val="32"/>
          <w:szCs w:val="32"/>
        </w:rPr>
        <w:t>等方面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E6518" w:rsidRDefault="004F2011" w:rsidP="008A6536">
      <w:pPr>
        <w:ind w:leftChars="200" w:left="420" w:firstLineChars="100" w:firstLine="3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三、降低被发改率的建议</w:t>
      </w:r>
    </w:p>
    <w:p w:rsidR="003E6518" w:rsidRDefault="004F2011" w:rsidP="006B38D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一是</w:t>
      </w:r>
      <w:r w:rsidR="00E4724A">
        <w:rPr>
          <w:rFonts w:ascii="仿宋" w:eastAsia="仿宋" w:hAnsi="仿宋" w:hint="eastAsia"/>
          <w:sz w:val="32"/>
          <w:szCs w:val="32"/>
        </w:rPr>
        <w:t>建立庭室发改案件月报告制度</w:t>
      </w:r>
      <w:r w:rsidR="0014697E">
        <w:rPr>
          <w:rFonts w:ascii="仿宋" w:eastAsia="仿宋" w:hAnsi="仿宋" w:hint="eastAsia"/>
          <w:sz w:val="32"/>
          <w:szCs w:val="32"/>
        </w:rPr>
        <w:t>。要求各业务庭室对其被发改案件从</w:t>
      </w:r>
      <w:r w:rsidR="0014697E" w:rsidRPr="0014697E">
        <w:rPr>
          <w:rFonts w:ascii="仿宋" w:eastAsia="仿宋" w:hAnsi="仿宋" w:hint="eastAsia"/>
          <w:sz w:val="32"/>
          <w:szCs w:val="32"/>
        </w:rPr>
        <w:t>事实认定、法律适用、程序等方面</w:t>
      </w:r>
      <w:r w:rsidR="0014697E">
        <w:rPr>
          <w:rFonts w:ascii="仿宋" w:eastAsia="仿宋" w:hAnsi="仿宋" w:hint="eastAsia"/>
          <w:sz w:val="32"/>
          <w:szCs w:val="32"/>
        </w:rPr>
        <w:t>进行分析，</w:t>
      </w:r>
      <w:r w:rsidR="008A6536">
        <w:rPr>
          <w:rFonts w:ascii="仿宋" w:eastAsia="仿宋" w:hAnsi="仿宋" w:hint="eastAsia"/>
          <w:sz w:val="32"/>
          <w:szCs w:val="32"/>
        </w:rPr>
        <w:t>每月</w:t>
      </w:r>
      <w:r w:rsidR="003D5886">
        <w:rPr>
          <w:rFonts w:ascii="仿宋" w:eastAsia="仿宋" w:hAnsi="仿宋" w:hint="eastAsia"/>
          <w:sz w:val="32"/>
          <w:szCs w:val="32"/>
        </w:rPr>
        <w:t>逐案形成</w:t>
      </w:r>
      <w:r w:rsidR="0014697E">
        <w:rPr>
          <w:rFonts w:ascii="仿宋" w:eastAsia="仿宋" w:hAnsi="仿宋" w:hint="eastAsia"/>
          <w:sz w:val="32"/>
          <w:szCs w:val="32"/>
        </w:rPr>
        <w:t>上诉发改报告，经庭长、分管领导</w:t>
      </w:r>
      <w:r w:rsidR="00E707E3">
        <w:rPr>
          <w:rFonts w:ascii="仿宋" w:eastAsia="仿宋" w:hAnsi="仿宋" w:hint="eastAsia"/>
          <w:sz w:val="32"/>
          <w:szCs w:val="32"/>
        </w:rPr>
        <w:t>签批</w:t>
      </w:r>
      <w:r w:rsidR="0014697E">
        <w:rPr>
          <w:rFonts w:ascii="仿宋" w:eastAsia="仿宋" w:hAnsi="仿宋" w:hint="eastAsia"/>
          <w:sz w:val="32"/>
          <w:szCs w:val="32"/>
        </w:rPr>
        <w:t>后交审判管理办公室</w:t>
      </w:r>
      <w:r w:rsidR="00E4724A">
        <w:rPr>
          <w:rFonts w:ascii="仿宋" w:eastAsia="仿宋" w:hAnsi="仿宋" w:hint="eastAsia"/>
          <w:sz w:val="32"/>
          <w:szCs w:val="32"/>
        </w:rPr>
        <w:t>（研究室）</w:t>
      </w:r>
      <w:r w:rsidR="0014697E">
        <w:rPr>
          <w:rFonts w:ascii="仿宋" w:eastAsia="仿宋" w:hAnsi="仿宋" w:hint="eastAsia"/>
          <w:sz w:val="32"/>
          <w:szCs w:val="32"/>
        </w:rPr>
        <w:t>备案。</w:t>
      </w:r>
    </w:p>
    <w:p w:rsidR="003E6518" w:rsidRDefault="008A6536" w:rsidP="006B38D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二是加强与中院沟通，针对审理过程中遇到的新型、疑难</w:t>
      </w:r>
      <w:r w:rsidR="004F2011">
        <w:rPr>
          <w:rFonts w:ascii="仿宋" w:eastAsia="仿宋" w:hAnsi="仿宋" w:hint="eastAsia"/>
          <w:sz w:val="32"/>
          <w:szCs w:val="32"/>
        </w:rPr>
        <w:t>及发改案由</w:t>
      </w:r>
      <w:r>
        <w:rPr>
          <w:rFonts w:ascii="仿宋" w:eastAsia="仿宋" w:hAnsi="仿宋" w:hint="eastAsia"/>
          <w:sz w:val="32"/>
          <w:szCs w:val="32"/>
        </w:rPr>
        <w:t>较</w:t>
      </w:r>
      <w:r w:rsidR="004F2011">
        <w:rPr>
          <w:rFonts w:ascii="仿宋" w:eastAsia="仿宋" w:hAnsi="仿宋" w:hint="eastAsia"/>
          <w:sz w:val="32"/>
          <w:szCs w:val="32"/>
        </w:rPr>
        <w:t>集中的案件，积极</w:t>
      </w:r>
      <w:r>
        <w:rPr>
          <w:rFonts w:ascii="仿宋" w:eastAsia="仿宋" w:hAnsi="仿宋" w:hint="eastAsia"/>
          <w:sz w:val="32"/>
          <w:szCs w:val="32"/>
        </w:rPr>
        <w:t>与</w:t>
      </w:r>
      <w:r w:rsidR="004F2011">
        <w:rPr>
          <w:rFonts w:ascii="仿宋" w:eastAsia="仿宋" w:hAnsi="仿宋" w:hint="eastAsia"/>
          <w:sz w:val="32"/>
          <w:szCs w:val="32"/>
        </w:rPr>
        <w:t>中院对口庭室</w:t>
      </w:r>
      <w:r>
        <w:rPr>
          <w:rFonts w:ascii="仿宋" w:eastAsia="仿宋" w:hAnsi="仿宋" w:hint="eastAsia"/>
          <w:sz w:val="32"/>
          <w:szCs w:val="32"/>
        </w:rPr>
        <w:t>进行沟通</w:t>
      </w:r>
      <w:r w:rsidR="004F2011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争取</w:t>
      </w:r>
      <w:r w:rsidR="004F2011">
        <w:rPr>
          <w:rFonts w:ascii="仿宋" w:eastAsia="仿宋" w:hAnsi="仿宋" w:hint="eastAsia"/>
          <w:sz w:val="32"/>
          <w:szCs w:val="32"/>
        </w:rPr>
        <w:t>指导，以提高办案能力、统一裁判尺度。</w:t>
      </w:r>
    </w:p>
    <w:p w:rsidR="003E6518" w:rsidRDefault="00D86DF0" w:rsidP="006B38D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三是加强学习，特别是对最新颁布的法律、司法解释、会议纪要的学习，提升法官办案水平和司法能力，严格按程序办理</w:t>
      </w:r>
      <w:r w:rsidR="004F2011">
        <w:rPr>
          <w:rFonts w:ascii="仿宋" w:eastAsia="仿宋" w:hAnsi="仿宋" w:hint="eastAsia"/>
          <w:sz w:val="32"/>
          <w:szCs w:val="32"/>
        </w:rPr>
        <w:t>，降低因程序违法被发改案件数量。</w:t>
      </w:r>
    </w:p>
    <w:p w:rsidR="003E6518" w:rsidRDefault="004F2011" w:rsidP="006B38D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四是结合</w:t>
      </w:r>
      <w:r w:rsidR="00F971D1">
        <w:rPr>
          <w:rFonts w:ascii="仿宋" w:eastAsia="仿宋" w:hAnsi="仿宋" w:hint="eastAsia"/>
          <w:sz w:val="32"/>
          <w:szCs w:val="32"/>
        </w:rPr>
        <w:t>各庭室上诉发改案件报告</w:t>
      </w:r>
      <w:r>
        <w:rPr>
          <w:rFonts w:ascii="仿宋" w:eastAsia="仿宋" w:hAnsi="仿宋" w:hint="eastAsia"/>
          <w:sz w:val="32"/>
          <w:szCs w:val="32"/>
        </w:rPr>
        <w:t>，加强对</w:t>
      </w:r>
      <w:r w:rsidR="00F971D1">
        <w:rPr>
          <w:rFonts w:ascii="仿宋" w:eastAsia="仿宋" w:hAnsi="仿宋" w:hint="eastAsia"/>
          <w:sz w:val="32"/>
          <w:szCs w:val="32"/>
        </w:rPr>
        <w:t>全院</w:t>
      </w:r>
      <w:r>
        <w:rPr>
          <w:rFonts w:ascii="仿宋" w:eastAsia="仿宋" w:hAnsi="仿宋" w:hint="eastAsia"/>
          <w:sz w:val="32"/>
          <w:szCs w:val="32"/>
        </w:rPr>
        <w:t>上诉发改案件的</w:t>
      </w:r>
      <w:r w:rsidR="00E707E3">
        <w:rPr>
          <w:rFonts w:ascii="仿宋" w:eastAsia="仿宋" w:hAnsi="仿宋" w:hint="eastAsia"/>
          <w:sz w:val="32"/>
          <w:szCs w:val="32"/>
        </w:rPr>
        <w:t>统计</w:t>
      </w:r>
      <w:r>
        <w:rPr>
          <w:rFonts w:ascii="仿宋" w:eastAsia="仿宋" w:hAnsi="仿宋" w:hint="eastAsia"/>
          <w:sz w:val="32"/>
          <w:szCs w:val="32"/>
        </w:rPr>
        <w:t>分析，发现问题，及时解决。</w:t>
      </w:r>
    </w:p>
    <w:p w:rsidR="003E6518" w:rsidRPr="00884153" w:rsidRDefault="003E6518" w:rsidP="006B38DB">
      <w:pPr>
        <w:ind w:leftChars="200" w:left="420" w:firstLineChars="200" w:firstLine="640"/>
        <w:rPr>
          <w:rFonts w:ascii="仿宋" w:eastAsia="仿宋" w:hAnsi="仿宋"/>
          <w:sz w:val="32"/>
          <w:szCs w:val="32"/>
        </w:rPr>
      </w:pPr>
    </w:p>
    <w:p w:rsidR="003E6518" w:rsidRDefault="004F2011" w:rsidP="006B38DB">
      <w:pPr>
        <w:ind w:leftChars="200" w:left="42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2020年2月27日    </w:t>
      </w:r>
    </w:p>
    <w:sectPr w:rsidR="003E6518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CAB" w:rsidRDefault="00065CAB">
      <w:r>
        <w:separator/>
      </w:r>
    </w:p>
  </w:endnote>
  <w:endnote w:type="continuationSeparator" w:id="0">
    <w:p w:rsidR="00065CAB" w:rsidRDefault="0006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518" w:rsidRDefault="004F201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518" w:rsidRDefault="004F2011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1426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E6518" w:rsidRDefault="004F2011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1426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CAB" w:rsidRDefault="00065CAB">
      <w:r>
        <w:separator/>
      </w:r>
    </w:p>
  </w:footnote>
  <w:footnote w:type="continuationSeparator" w:id="0">
    <w:p w:rsidR="00065CAB" w:rsidRDefault="00065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D88F0A"/>
    <w:multiLevelType w:val="singleLevel"/>
    <w:tmpl w:val="C8D88F0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7F"/>
    <w:rsid w:val="00001A12"/>
    <w:rsid w:val="000048CF"/>
    <w:rsid w:val="0000682A"/>
    <w:rsid w:val="000077AA"/>
    <w:rsid w:val="0001085D"/>
    <w:rsid w:val="00012783"/>
    <w:rsid w:val="00013E98"/>
    <w:rsid w:val="00015D8C"/>
    <w:rsid w:val="00022A41"/>
    <w:rsid w:val="000268A3"/>
    <w:rsid w:val="000269CC"/>
    <w:rsid w:val="00026AC0"/>
    <w:rsid w:val="00027E24"/>
    <w:rsid w:val="00036A54"/>
    <w:rsid w:val="00043811"/>
    <w:rsid w:val="0004528B"/>
    <w:rsid w:val="00046518"/>
    <w:rsid w:val="00054FBB"/>
    <w:rsid w:val="00056188"/>
    <w:rsid w:val="00056C2C"/>
    <w:rsid w:val="00060831"/>
    <w:rsid w:val="00060D7D"/>
    <w:rsid w:val="000650B3"/>
    <w:rsid w:val="00065CAB"/>
    <w:rsid w:val="000664B8"/>
    <w:rsid w:val="00070207"/>
    <w:rsid w:val="00071076"/>
    <w:rsid w:val="000747E9"/>
    <w:rsid w:val="000754E8"/>
    <w:rsid w:val="00077373"/>
    <w:rsid w:val="00080BF4"/>
    <w:rsid w:val="00083575"/>
    <w:rsid w:val="000879B7"/>
    <w:rsid w:val="0009193A"/>
    <w:rsid w:val="0009253D"/>
    <w:rsid w:val="00094A8E"/>
    <w:rsid w:val="00095605"/>
    <w:rsid w:val="00095AB7"/>
    <w:rsid w:val="00095C68"/>
    <w:rsid w:val="000969CF"/>
    <w:rsid w:val="000A0C52"/>
    <w:rsid w:val="000A0F95"/>
    <w:rsid w:val="000A56EF"/>
    <w:rsid w:val="000B6021"/>
    <w:rsid w:val="000C3ED7"/>
    <w:rsid w:val="000C76A8"/>
    <w:rsid w:val="000D0A63"/>
    <w:rsid w:val="000D1712"/>
    <w:rsid w:val="000E3C86"/>
    <w:rsid w:val="000E609A"/>
    <w:rsid w:val="000F10CC"/>
    <w:rsid w:val="000F279E"/>
    <w:rsid w:val="000F55D1"/>
    <w:rsid w:val="000F63C7"/>
    <w:rsid w:val="000F749D"/>
    <w:rsid w:val="000F7EBE"/>
    <w:rsid w:val="00100D44"/>
    <w:rsid w:val="00104118"/>
    <w:rsid w:val="00105857"/>
    <w:rsid w:val="00106C4F"/>
    <w:rsid w:val="00107F04"/>
    <w:rsid w:val="001208F4"/>
    <w:rsid w:val="00122251"/>
    <w:rsid w:val="001223A3"/>
    <w:rsid w:val="001266E1"/>
    <w:rsid w:val="001273AB"/>
    <w:rsid w:val="00127ADA"/>
    <w:rsid w:val="00130332"/>
    <w:rsid w:val="001338D8"/>
    <w:rsid w:val="00134D5D"/>
    <w:rsid w:val="001350C0"/>
    <w:rsid w:val="0013637D"/>
    <w:rsid w:val="00136F3B"/>
    <w:rsid w:val="00144C6F"/>
    <w:rsid w:val="0014697E"/>
    <w:rsid w:val="00146BF2"/>
    <w:rsid w:val="00147242"/>
    <w:rsid w:val="0015462F"/>
    <w:rsid w:val="001547A4"/>
    <w:rsid w:val="00157E01"/>
    <w:rsid w:val="0016325A"/>
    <w:rsid w:val="00163B04"/>
    <w:rsid w:val="00165101"/>
    <w:rsid w:val="00170049"/>
    <w:rsid w:val="001701B0"/>
    <w:rsid w:val="001772A2"/>
    <w:rsid w:val="0017733B"/>
    <w:rsid w:val="001779E6"/>
    <w:rsid w:val="00180A09"/>
    <w:rsid w:val="0018336F"/>
    <w:rsid w:val="001856A2"/>
    <w:rsid w:val="00186930"/>
    <w:rsid w:val="00191F1A"/>
    <w:rsid w:val="00195BBC"/>
    <w:rsid w:val="001A2222"/>
    <w:rsid w:val="001A2F95"/>
    <w:rsid w:val="001A3894"/>
    <w:rsid w:val="001A4682"/>
    <w:rsid w:val="001A53EA"/>
    <w:rsid w:val="001A5CB6"/>
    <w:rsid w:val="001C1215"/>
    <w:rsid w:val="001C2923"/>
    <w:rsid w:val="001D1C01"/>
    <w:rsid w:val="001D57D8"/>
    <w:rsid w:val="001D645C"/>
    <w:rsid w:val="001D6650"/>
    <w:rsid w:val="001D66B8"/>
    <w:rsid w:val="001D7167"/>
    <w:rsid w:val="001D7CE8"/>
    <w:rsid w:val="001E0077"/>
    <w:rsid w:val="001E19A8"/>
    <w:rsid w:val="001E4980"/>
    <w:rsid w:val="001F2ABB"/>
    <w:rsid w:val="001F39B2"/>
    <w:rsid w:val="001F45D8"/>
    <w:rsid w:val="001F46CE"/>
    <w:rsid w:val="001F4942"/>
    <w:rsid w:val="001F49F7"/>
    <w:rsid w:val="001F533B"/>
    <w:rsid w:val="00201CBD"/>
    <w:rsid w:val="0020232B"/>
    <w:rsid w:val="002030F7"/>
    <w:rsid w:val="0020408D"/>
    <w:rsid w:val="002051EF"/>
    <w:rsid w:val="00207DCA"/>
    <w:rsid w:val="002170E3"/>
    <w:rsid w:val="00221E04"/>
    <w:rsid w:val="002257BA"/>
    <w:rsid w:val="002274F0"/>
    <w:rsid w:val="002315CD"/>
    <w:rsid w:val="00232467"/>
    <w:rsid w:val="0023478E"/>
    <w:rsid w:val="00234B0A"/>
    <w:rsid w:val="00234D72"/>
    <w:rsid w:val="0024328E"/>
    <w:rsid w:val="002446AF"/>
    <w:rsid w:val="00244867"/>
    <w:rsid w:val="00256F0C"/>
    <w:rsid w:val="00257CF6"/>
    <w:rsid w:val="00265AA6"/>
    <w:rsid w:val="00267A7B"/>
    <w:rsid w:val="0027063A"/>
    <w:rsid w:val="0027107D"/>
    <w:rsid w:val="00271A16"/>
    <w:rsid w:val="0027390D"/>
    <w:rsid w:val="00274F4D"/>
    <w:rsid w:val="00282201"/>
    <w:rsid w:val="002822B1"/>
    <w:rsid w:val="00285230"/>
    <w:rsid w:val="00287172"/>
    <w:rsid w:val="00290BF9"/>
    <w:rsid w:val="0029165E"/>
    <w:rsid w:val="0029212C"/>
    <w:rsid w:val="00293F25"/>
    <w:rsid w:val="00294B72"/>
    <w:rsid w:val="002A2485"/>
    <w:rsid w:val="002A408B"/>
    <w:rsid w:val="002A7C2D"/>
    <w:rsid w:val="002B13AB"/>
    <w:rsid w:val="002B2766"/>
    <w:rsid w:val="002B2FC5"/>
    <w:rsid w:val="002B696A"/>
    <w:rsid w:val="002C1C3F"/>
    <w:rsid w:val="002C1C8A"/>
    <w:rsid w:val="002C534B"/>
    <w:rsid w:val="002C7C35"/>
    <w:rsid w:val="002D22C2"/>
    <w:rsid w:val="002D2714"/>
    <w:rsid w:val="002D38C9"/>
    <w:rsid w:val="002D519A"/>
    <w:rsid w:val="002E06CF"/>
    <w:rsid w:val="002E513E"/>
    <w:rsid w:val="002F2153"/>
    <w:rsid w:val="002F2566"/>
    <w:rsid w:val="002F2AFC"/>
    <w:rsid w:val="002F4440"/>
    <w:rsid w:val="002F7124"/>
    <w:rsid w:val="00300543"/>
    <w:rsid w:val="00301ED5"/>
    <w:rsid w:val="00302DED"/>
    <w:rsid w:val="003040E7"/>
    <w:rsid w:val="0030543D"/>
    <w:rsid w:val="00306039"/>
    <w:rsid w:val="0031073D"/>
    <w:rsid w:val="003109F3"/>
    <w:rsid w:val="003117FB"/>
    <w:rsid w:val="00315C6F"/>
    <w:rsid w:val="00317A39"/>
    <w:rsid w:val="00322416"/>
    <w:rsid w:val="003224E0"/>
    <w:rsid w:val="00323DDF"/>
    <w:rsid w:val="00326960"/>
    <w:rsid w:val="00331101"/>
    <w:rsid w:val="00331441"/>
    <w:rsid w:val="003325C3"/>
    <w:rsid w:val="00333406"/>
    <w:rsid w:val="0033490A"/>
    <w:rsid w:val="00335BB5"/>
    <w:rsid w:val="003360DF"/>
    <w:rsid w:val="0034083F"/>
    <w:rsid w:val="0034097E"/>
    <w:rsid w:val="00340A2F"/>
    <w:rsid w:val="0034146D"/>
    <w:rsid w:val="003429D1"/>
    <w:rsid w:val="00344055"/>
    <w:rsid w:val="003478A0"/>
    <w:rsid w:val="00347FC8"/>
    <w:rsid w:val="003511AB"/>
    <w:rsid w:val="003519A5"/>
    <w:rsid w:val="00351DF3"/>
    <w:rsid w:val="003557F4"/>
    <w:rsid w:val="00362351"/>
    <w:rsid w:val="00362FE2"/>
    <w:rsid w:val="00366E14"/>
    <w:rsid w:val="00366E85"/>
    <w:rsid w:val="00367065"/>
    <w:rsid w:val="00367FAD"/>
    <w:rsid w:val="003708D6"/>
    <w:rsid w:val="00370FE8"/>
    <w:rsid w:val="00371F67"/>
    <w:rsid w:val="00376A1D"/>
    <w:rsid w:val="00386666"/>
    <w:rsid w:val="0038708F"/>
    <w:rsid w:val="003910F0"/>
    <w:rsid w:val="0039274C"/>
    <w:rsid w:val="003936B6"/>
    <w:rsid w:val="00393A5F"/>
    <w:rsid w:val="00397A1A"/>
    <w:rsid w:val="003A3FCE"/>
    <w:rsid w:val="003A6098"/>
    <w:rsid w:val="003B780F"/>
    <w:rsid w:val="003C75ED"/>
    <w:rsid w:val="003D0EE4"/>
    <w:rsid w:val="003D0F85"/>
    <w:rsid w:val="003D137F"/>
    <w:rsid w:val="003D32FF"/>
    <w:rsid w:val="003D45B9"/>
    <w:rsid w:val="003D5886"/>
    <w:rsid w:val="003D5B64"/>
    <w:rsid w:val="003D6974"/>
    <w:rsid w:val="003D6CBF"/>
    <w:rsid w:val="003D7C3B"/>
    <w:rsid w:val="003E1DEA"/>
    <w:rsid w:val="003E5FF9"/>
    <w:rsid w:val="003E6518"/>
    <w:rsid w:val="003E709E"/>
    <w:rsid w:val="003E7BD4"/>
    <w:rsid w:val="003F03FC"/>
    <w:rsid w:val="003F1204"/>
    <w:rsid w:val="003F1853"/>
    <w:rsid w:val="00412D7C"/>
    <w:rsid w:val="004138E8"/>
    <w:rsid w:val="00414738"/>
    <w:rsid w:val="0042037F"/>
    <w:rsid w:val="004204EE"/>
    <w:rsid w:val="00420580"/>
    <w:rsid w:val="004256D8"/>
    <w:rsid w:val="00426614"/>
    <w:rsid w:val="0043326A"/>
    <w:rsid w:val="004342E2"/>
    <w:rsid w:val="004354D5"/>
    <w:rsid w:val="00440674"/>
    <w:rsid w:val="00443CDE"/>
    <w:rsid w:val="0044444C"/>
    <w:rsid w:val="004501C6"/>
    <w:rsid w:val="00450A85"/>
    <w:rsid w:val="00450A92"/>
    <w:rsid w:val="00450F8A"/>
    <w:rsid w:val="00451F75"/>
    <w:rsid w:val="00454B02"/>
    <w:rsid w:val="00455D5E"/>
    <w:rsid w:val="00457315"/>
    <w:rsid w:val="00465253"/>
    <w:rsid w:val="004662DB"/>
    <w:rsid w:val="0046643B"/>
    <w:rsid w:val="0047109D"/>
    <w:rsid w:val="004738B9"/>
    <w:rsid w:val="00474485"/>
    <w:rsid w:val="00476788"/>
    <w:rsid w:val="00484B8B"/>
    <w:rsid w:val="00485B1F"/>
    <w:rsid w:val="00486029"/>
    <w:rsid w:val="00487AF2"/>
    <w:rsid w:val="004915A4"/>
    <w:rsid w:val="00492918"/>
    <w:rsid w:val="0049316E"/>
    <w:rsid w:val="004A369F"/>
    <w:rsid w:val="004A46A4"/>
    <w:rsid w:val="004A4E42"/>
    <w:rsid w:val="004B37B9"/>
    <w:rsid w:val="004B382E"/>
    <w:rsid w:val="004B4285"/>
    <w:rsid w:val="004B6C7D"/>
    <w:rsid w:val="004B7664"/>
    <w:rsid w:val="004C0A28"/>
    <w:rsid w:val="004C2AFE"/>
    <w:rsid w:val="004C420A"/>
    <w:rsid w:val="004D0244"/>
    <w:rsid w:val="004D2FD0"/>
    <w:rsid w:val="004E0413"/>
    <w:rsid w:val="004E1F6D"/>
    <w:rsid w:val="004E481B"/>
    <w:rsid w:val="004F12FD"/>
    <w:rsid w:val="004F2011"/>
    <w:rsid w:val="004F270A"/>
    <w:rsid w:val="00501C34"/>
    <w:rsid w:val="00504A65"/>
    <w:rsid w:val="00510C16"/>
    <w:rsid w:val="005111B9"/>
    <w:rsid w:val="00513470"/>
    <w:rsid w:val="00521168"/>
    <w:rsid w:val="0052134A"/>
    <w:rsid w:val="0052167E"/>
    <w:rsid w:val="0052433B"/>
    <w:rsid w:val="005250DB"/>
    <w:rsid w:val="00535288"/>
    <w:rsid w:val="00541AF8"/>
    <w:rsid w:val="00541F5A"/>
    <w:rsid w:val="00547125"/>
    <w:rsid w:val="00547D56"/>
    <w:rsid w:val="00553FAC"/>
    <w:rsid w:val="00555DE8"/>
    <w:rsid w:val="005564C9"/>
    <w:rsid w:val="00560844"/>
    <w:rsid w:val="00562252"/>
    <w:rsid w:val="00562757"/>
    <w:rsid w:val="00564761"/>
    <w:rsid w:val="00564E33"/>
    <w:rsid w:val="005659BB"/>
    <w:rsid w:val="005675C9"/>
    <w:rsid w:val="005708D5"/>
    <w:rsid w:val="005709C3"/>
    <w:rsid w:val="005723D8"/>
    <w:rsid w:val="00573FE0"/>
    <w:rsid w:val="0057533F"/>
    <w:rsid w:val="00584C85"/>
    <w:rsid w:val="00584E8B"/>
    <w:rsid w:val="00584F7D"/>
    <w:rsid w:val="00586352"/>
    <w:rsid w:val="005869D7"/>
    <w:rsid w:val="0059484F"/>
    <w:rsid w:val="00595F0E"/>
    <w:rsid w:val="005A1458"/>
    <w:rsid w:val="005A2FC8"/>
    <w:rsid w:val="005A71FE"/>
    <w:rsid w:val="005C07D4"/>
    <w:rsid w:val="005C5672"/>
    <w:rsid w:val="005D46B8"/>
    <w:rsid w:val="005D50BB"/>
    <w:rsid w:val="005D59A8"/>
    <w:rsid w:val="005E0AF7"/>
    <w:rsid w:val="005E0F9B"/>
    <w:rsid w:val="005E3039"/>
    <w:rsid w:val="005E46B9"/>
    <w:rsid w:val="005F3030"/>
    <w:rsid w:val="005F6C76"/>
    <w:rsid w:val="005F7A1E"/>
    <w:rsid w:val="005F7E13"/>
    <w:rsid w:val="006005EB"/>
    <w:rsid w:val="00600943"/>
    <w:rsid w:val="00600A06"/>
    <w:rsid w:val="0060435A"/>
    <w:rsid w:val="006079BD"/>
    <w:rsid w:val="00613700"/>
    <w:rsid w:val="00613E0F"/>
    <w:rsid w:val="00622472"/>
    <w:rsid w:val="00623A26"/>
    <w:rsid w:val="0062476C"/>
    <w:rsid w:val="00624C6F"/>
    <w:rsid w:val="00627A07"/>
    <w:rsid w:val="00635B99"/>
    <w:rsid w:val="00640CB5"/>
    <w:rsid w:val="00641ED4"/>
    <w:rsid w:val="00645576"/>
    <w:rsid w:val="00645BFA"/>
    <w:rsid w:val="0065284D"/>
    <w:rsid w:val="006546D5"/>
    <w:rsid w:val="00655AC6"/>
    <w:rsid w:val="006573FE"/>
    <w:rsid w:val="006604D7"/>
    <w:rsid w:val="00660EDA"/>
    <w:rsid w:val="00670558"/>
    <w:rsid w:val="006705F0"/>
    <w:rsid w:val="0067127F"/>
    <w:rsid w:val="00672046"/>
    <w:rsid w:val="0067272A"/>
    <w:rsid w:val="006727D1"/>
    <w:rsid w:val="006768C4"/>
    <w:rsid w:val="00681226"/>
    <w:rsid w:val="006827E4"/>
    <w:rsid w:val="00685D66"/>
    <w:rsid w:val="00686706"/>
    <w:rsid w:val="00690424"/>
    <w:rsid w:val="00694AE1"/>
    <w:rsid w:val="006957BD"/>
    <w:rsid w:val="00696AD0"/>
    <w:rsid w:val="00696C79"/>
    <w:rsid w:val="006A1B71"/>
    <w:rsid w:val="006A3AE8"/>
    <w:rsid w:val="006A3C17"/>
    <w:rsid w:val="006B046E"/>
    <w:rsid w:val="006B3133"/>
    <w:rsid w:val="006B38DB"/>
    <w:rsid w:val="006B5FD9"/>
    <w:rsid w:val="006C1E89"/>
    <w:rsid w:val="006D0B46"/>
    <w:rsid w:val="006D2A05"/>
    <w:rsid w:val="006E06E8"/>
    <w:rsid w:val="006E5B7C"/>
    <w:rsid w:val="006F3A9E"/>
    <w:rsid w:val="006F466F"/>
    <w:rsid w:val="006F6ACD"/>
    <w:rsid w:val="006F6AF2"/>
    <w:rsid w:val="006F704E"/>
    <w:rsid w:val="0070068E"/>
    <w:rsid w:val="0070090A"/>
    <w:rsid w:val="0070175D"/>
    <w:rsid w:val="007018FF"/>
    <w:rsid w:val="0070312E"/>
    <w:rsid w:val="007051EA"/>
    <w:rsid w:val="007104AF"/>
    <w:rsid w:val="00710E25"/>
    <w:rsid w:val="00710E2F"/>
    <w:rsid w:val="007115E7"/>
    <w:rsid w:val="00712DD9"/>
    <w:rsid w:val="00712F8E"/>
    <w:rsid w:val="007147E1"/>
    <w:rsid w:val="00714A74"/>
    <w:rsid w:val="00714F56"/>
    <w:rsid w:val="007152CF"/>
    <w:rsid w:val="0072315C"/>
    <w:rsid w:val="0072318A"/>
    <w:rsid w:val="00725274"/>
    <w:rsid w:val="00730198"/>
    <w:rsid w:val="0073077F"/>
    <w:rsid w:val="007336F8"/>
    <w:rsid w:val="0073620F"/>
    <w:rsid w:val="00742692"/>
    <w:rsid w:val="00743D75"/>
    <w:rsid w:val="0074515C"/>
    <w:rsid w:val="007517F8"/>
    <w:rsid w:val="00755B25"/>
    <w:rsid w:val="0075620B"/>
    <w:rsid w:val="00756A14"/>
    <w:rsid w:val="00762E64"/>
    <w:rsid w:val="00763E6E"/>
    <w:rsid w:val="00764BDE"/>
    <w:rsid w:val="0077796B"/>
    <w:rsid w:val="0078128A"/>
    <w:rsid w:val="007832D7"/>
    <w:rsid w:val="00783C58"/>
    <w:rsid w:val="0078673B"/>
    <w:rsid w:val="00786B1B"/>
    <w:rsid w:val="00792D0F"/>
    <w:rsid w:val="007940F3"/>
    <w:rsid w:val="0079768E"/>
    <w:rsid w:val="007A09F0"/>
    <w:rsid w:val="007A1561"/>
    <w:rsid w:val="007A2282"/>
    <w:rsid w:val="007B2BA9"/>
    <w:rsid w:val="007B68CC"/>
    <w:rsid w:val="007C04B0"/>
    <w:rsid w:val="007C079A"/>
    <w:rsid w:val="007C3CC7"/>
    <w:rsid w:val="007D0146"/>
    <w:rsid w:val="007D2101"/>
    <w:rsid w:val="007D5C1E"/>
    <w:rsid w:val="007D75F6"/>
    <w:rsid w:val="007D7B93"/>
    <w:rsid w:val="007E3193"/>
    <w:rsid w:val="007E7085"/>
    <w:rsid w:val="007E75A8"/>
    <w:rsid w:val="007F223E"/>
    <w:rsid w:val="007F3029"/>
    <w:rsid w:val="00802FA9"/>
    <w:rsid w:val="00803C12"/>
    <w:rsid w:val="0080526D"/>
    <w:rsid w:val="00805805"/>
    <w:rsid w:val="008058AE"/>
    <w:rsid w:val="00805AAA"/>
    <w:rsid w:val="00815245"/>
    <w:rsid w:val="00816F0D"/>
    <w:rsid w:val="008203FA"/>
    <w:rsid w:val="00841058"/>
    <w:rsid w:val="0084542D"/>
    <w:rsid w:val="00854170"/>
    <w:rsid w:val="008607E6"/>
    <w:rsid w:val="00861069"/>
    <w:rsid w:val="0086400F"/>
    <w:rsid w:val="00871346"/>
    <w:rsid w:val="0087152F"/>
    <w:rsid w:val="00872350"/>
    <w:rsid w:val="0087267F"/>
    <w:rsid w:val="00873704"/>
    <w:rsid w:val="0088005E"/>
    <w:rsid w:val="00880844"/>
    <w:rsid w:val="008814C4"/>
    <w:rsid w:val="0088320B"/>
    <w:rsid w:val="00883283"/>
    <w:rsid w:val="00883F3B"/>
    <w:rsid w:val="00884153"/>
    <w:rsid w:val="00885BF4"/>
    <w:rsid w:val="00892F86"/>
    <w:rsid w:val="0089564F"/>
    <w:rsid w:val="00896B75"/>
    <w:rsid w:val="00896F2C"/>
    <w:rsid w:val="008971F7"/>
    <w:rsid w:val="008A133D"/>
    <w:rsid w:val="008A15CD"/>
    <w:rsid w:val="008A22DD"/>
    <w:rsid w:val="008A45F7"/>
    <w:rsid w:val="008A6536"/>
    <w:rsid w:val="008B1170"/>
    <w:rsid w:val="008B2001"/>
    <w:rsid w:val="008B3388"/>
    <w:rsid w:val="008B3C97"/>
    <w:rsid w:val="008C2F7B"/>
    <w:rsid w:val="008C46F0"/>
    <w:rsid w:val="008C48DF"/>
    <w:rsid w:val="008C6B41"/>
    <w:rsid w:val="008C7633"/>
    <w:rsid w:val="008D1E38"/>
    <w:rsid w:val="008D7954"/>
    <w:rsid w:val="008F0D4B"/>
    <w:rsid w:val="008F2BF8"/>
    <w:rsid w:val="008F3F3A"/>
    <w:rsid w:val="008F5D93"/>
    <w:rsid w:val="00900568"/>
    <w:rsid w:val="009034E8"/>
    <w:rsid w:val="00903CCC"/>
    <w:rsid w:val="009048AB"/>
    <w:rsid w:val="00904FF9"/>
    <w:rsid w:val="009107B1"/>
    <w:rsid w:val="00910A58"/>
    <w:rsid w:val="00910C60"/>
    <w:rsid w:val="00912673"/>
    <w:rsid w:val="00914077"/>
    <w:rsid w:val="00915793"/>
    <w:rsid w:val="00916F24"/>
    <w:rsid w:val="00922205"/>
    <w:rsid w:val="009228CC"/>
    <w:rsid w:val="00922A00"/>
    <w:rsid w:val="00930EEB"/>
    <w:rsid w:val="00931961"/>
    <w:rsid w:val="0093297C"/>
    <w:rsid w:val="0094357F"/>
    <w:rsid w:val="00946669"/>
    <w:rsid w:val="00947F09"/>
    <w:rsid w:val="00952A66"/>
    <w:rsid w:val="009530A8"/>
    <w:rsid w:val="009539C8"/>
    <w:rsid w:val="00963E3C"/>
    <w:rsid w:val="00964F03"/>
    <w:rsid w:val="00966578"/>
    <w:rsid w:val="009718EA"/>
    <w:rsid w:val="009778F7"/>
    <w:rsid w:val="00977B65"/>
    <w:rsid w:val="009820D9"/>
    <w:rsid w:val="009848BF"/>
    <w:rsid w:val="00987537"/>
    <w:rsid w:val="00991E15"/>
    <w:rsid w:val="0099375C"/>
    <w:rsid w:val="0099493B"/>
    <w:rsid w:val="009A186C"/>
    <w:rsid w:val="009A2D1B"/>
    <w:rsid w:val="009A4CF0"/>
    <w:rsid w:val="009B240B"/>
    <w:rsid w:val="009B2954"/>
    <w:rsid w:val="009B4CDA"/>
    <w:rsid w:val="009C1F03"/>
    <w:rsid w:val="009C2794"/>
    <w:rsid w:val="009C5722"/>
    <w:rsid w:val="009C5AF1"/>
    <w:rsid w:val="009C6F56"/>
    <w:rsid w:val="009D1960"/>
    <w:rsid w:val="009D4889"/>
    <w:rsid w:val="009D5190"/>
    <w:rsid w:val="009D53B9"/>
    <w:rsid w:val="009D5F68"/>
    <w:rsid w:val="009D76EC"/>
    <w:rsid w:val="009E2CC0"/>
    <w:rsid w:val="009E3FBC"/>
    <w:rsid w:val="009E4B3C"/>
    <w:rsid w:val="009E70CD"/>
    <w:rsid w:val="009E7BE9"/>
    <w:rsid w:val="009F16F7"/>
    <w:rsid w:val="009F44CF"/>
    <w:rsid w:val="009F57E4"/>
    <w:rsid w:val="009F687B"/>
    <w:rsid w:val="009F73C6"/>
    <w:rsid w:val="00A07F55"/>
    <w:rsid w:val="00A10237"/>
    <w:rsid w:val="00A121DF"/>
    <w:rsid w:val="00A20315"/>
    <w:rsid w:val="00A30DDC"/>
    <w:rsid w:val="00A33732"/>
    <w:rsid w:val="00A37127"/>
    <w:rsid w:val="00A37B20"/>
    <w:rsid w:val="00A37D91"/>
    <w:rsid w:val="00A425DD"/>
    <w:rsid w:val="00A473A9"/>
    <w:rsid w:val="00A50CAA"/>
    <w:rsid w:val="00A55116"/>
    <w:rsid w:val="00A55B06"/>
    <w:rsid w:val="00A602DE"/>
    <w:rsid w:val="00A62A56"/>
    <w:rsid w:val="00A63AA8"/>
    <w:rsid w:val="00A726B5"/>
    <w:rsid w:val="00A7594F"/>
    <w:rsid w:val="00A77563"/>
    <w:rsid w:val="00A82EE8"/>
    <w:rsid w:val="00A84078"/>
    <w:rsid w:val="00A939FB"/>
    <w:rsid w:val="00A958A8"/>
    <w:rsid w:val="00A97F92"/>
    <w:rsid w:val="00AA3CFD"/>
    <w:rsid w:val="00AA5CC3"/>
    <w:rsid w:val="00AB0BB8"/>
    <w:rsid w:val="00AB415A"/>
    <w:rsid w:val="00AB549D"/>
    <w:rsid w:val="00AB6675"/>
    <w:rsid w:val="00AC0D09"/>
    <w:rsid w:val="00AC0E60"/>
    <w:rsid w:val="00AC1D91"/>
    <w:rsid w:val="00AC2A6A"/>
    <w:rsid w:val="00AC35FD"/>
    <w:rsid w:val="00AD13A4"/>
    <w:rsid w:val="00AD2214"/>
    <w:rsid w:val="00AE1729"/>
    <w:rsid w:val="00AE240B"/>
    <w:rsid w:val="00AE5F71"/>
    <w:rsid w:val="00AF4564"/>
    <w:rsid w:val="00B00C09"/>
    <w:rsid w:val="00B02CE7"/>
    <w:rsid w:val="00B05BCC"/>
    <w:rsid w:val="00B10C98"/>
    <w:rsid w:val="00B117EA"/>
    <w:rsid w:val="00B1290A"/>
    <w:rsid w:val="00B133EB"/>
    <w:rsid w:val="00B15A2E"/>
    <w:rsid w:val="00B17388"/>
    <w:rsid w:val="00B3042D"/>
    <w:rsid w:val="00B30721"/>
    <w:rsid w:val="00B3266E"/>
    <w:rsid w:val="00B365CD"/>
    <w:rsid w:val="00B37246"/>
    <w:rsid w:val="00B40E86"/>
    <w:rsid w:val="00B455DA"/>
    <w:rsid w:val="00B470C2"/>
    <w:rsid w:val="00B52EEB"/>
    <w:rsid w:val="00B530B1"/>
    <w:rsid w:val="00B54315"/>
    <w:rsid w:val="00B566CB"/>
    <w:rsid w:val="00B619EB"/>
    <w:rsid w:val="00B65844"/>
    <w:rsid w:val="00B6596A"/>
    <w:rsid w:val="00B65A61"/>
    <w:rsid w:val="00B67A73"/>
    <w:rsid w:val="00B7024D"/>
    <w:rsid w:val="00B702A6"/>
    <w:rsid w:val="00B72552"/>
    <w:rsid w:val="00B73B44"/>
    <w:rsid w:val="00B74835"/>
    <w:rsid w:val="00B779E9"/>
    <w:rsid w:val="00B80295"/>
    <w:rsid w:val="00B8244E"/>
    <w:rsid w:val="00B84C38"/>
    <w:rsid w:val="00B93089"/>
    <w:rsid w:val="00B9726F"/>
    <w:rsid w:val="00B97636"/>
    <w:rsid w:val="00BA048A"/>
    <w:rsid w:val="00BB45AC"/>
    <w:rsid w:val="00BB72C4"/>
    <w:rsid w:val="00BB7DD2"/>
    <w:rsid w:val="00BC5661"/>
    <w:rsid w:val="00BC69CD"/>
    <w:rsid w:val="00BD5279"/>
    <w:rsid w:val="00BD53CF"/>
    <w:rsid w:val="00BE157F"/>
    <w:rsid w:val="00BE5E27"/>
    <w:rsid w:val="00BF2CBA"/>
    <w:rsid w:val="00BF3F2E"/>
    <w:rsid w:val="00BF4C8B"/>
    <w:rsid w:val="00C023A2"/>
    <w:rsid w:val="00C02801"/>
    <w:rsid w:val="00C06CFB"/>
    <w:rsid w:val="00C10FE2"/>
    <w:rsid w:val="00C123E4"/>
    <w:rsid w:val="00C15CC4"/>
    <w:rsid w:val="00C16794"/>
    <w:rsid w:val="00C21986"/>
    <w:rsid w:val="00C222FB"/>
    <w:rsid w:val="00C25C8F"/>
    <w:rsid w:val="00C26305"/>
    <w:rsid w:val="00C357DD"/>
    <w:rsid w:val="00C364AF"/>
    <w:rsid w:val="00C36CF2"/>
    <w:rsid w:val="00C40B22"/>
    <w:rsid w:val="00C45F92"/>
    <w:rsid w:val="00C47AB2"/>
    <w:rsid w:val="00C50F0F"/>
    <w:rsid w:val="00C52370"/>
    <w:rsid w:val="00C5789C"/>
    <w:rsid w:val="00C61075"/>
    <w:rsid w:val="00C63397"/>
    <w:rsid w:val="00C63455"/>
    <w:rsid w:val="00C6442C"/>
    <w:rsid w:val="00C64614"/>
    <w:rsid w:val="00C66A5E"/>
    <w:rsid w:val="00C66B6C"/>
    <w:rsid w:val="00C67FE2"/>
    <w:rsid w:val="00C72E74"/>
    <w:rsid w:val="00C75EBA"/>
    <w:rsid w:val="00C772C5"/>
    <w:rsid w:val="00C82109"/>
    <w:rsid w:val="00C834CF"/>
    <w:rsid w:val="00C87D6F"/>
    <w:rsid w:val="00C90A0C"/>
    <w:rsid w:val="00C91C03"/>
    <w:rsid w:val="00C94B44"/>
    <w:rsid w:val="00C97C39"/>
    <w:rsid w:val="00CA1853"/>
    <w:rsid w:val="00CA1FC9"/>
    <w:rsid w:val="00CA2C85"/>
    <w:rsid w:val="00CA34B8"/>
    <w:rsid w:val="00CA7645"/>
    <w:rsid w:val="00CB3585"/>
    <w:rsid w:val="00CB46CC"/>
    <w:rsid w:val="00CB6A95"/>
    <w:rsid w:val="00CC1E75"/>
    <w:rsid w:val="00CC3C23"/>
    <w:rsid w:val="00CC4232"/>
    <w:rsid w:val="00CD179B"/>
    <w:rsid w:val="00CD2764"/>
    <w:rsid w:val="00CD29FC"/>
    <w:rsid w:val="00CE4202"/>
    <w:rsid w:val="00CF12A9"/>
    <w:rsid w:val="00CF1631"/>
    <w:rsid w:val="00CF3E34"/>
    <w:rsid w:val="00D02656"/>
    <w:rsid w:val="00D03994"/>
    <w:rsid w:val="00D05A4E"/>
    <w:rsid w:val="00D05EE4"/>
    <w:rsid w:val="00D14DEB"/>
    <w:rsid w:val="00D159EE"/>
    <w:rsid w:val="00D16B80"/>
    <w:rsid w:val="00D263C2"/>
    <w:rsid w:val="00D308E8"/>
    <w:rsid w:val="00D30D5F"/>
    <w:rsid w:val="00D360F0"/>
    <w:rsid w:val="00D418F1"/>
    <w:rsid w:val="00D419B7"/>
    <w:rsid w:val="00D42112"/>
    <w:rsid w:val="00D42228"/>
    <w:rsid w:val="00D4233B"/>
    <w:rsid w:val="00D425E3"/>
    <w:rsid w:val="00D44C1C"/>
    <w:rsid w:val="00D46383"/>
    <w:rsid w:val="00D46E9C"/>
    <w:rsid w:val="00D525EA"/>
    <w:rsid w:val="00D54328"/>
    <w:rsid w:val="00D5641C"/>
    <w:rsid w:val="00D63FA0"/>
    <w:rsid w:val="00D66CF0"/>
    <w:rsid w:val="00D679BD"/>
    <w:rsid w:val="00D7173F"/>
    <w:rsid w:val="00D7289E"/>
    <w:rsid w:val="00D74A6C"/>
    <w:rsid w:val="00D8009E"/>
    <w:rsid w:val="00D828D6"/>
    <w:rsid w:val="00D84927"/>
    <w:rsid w:val="00D86DF0"/>
    <w:rsid w:val="00D9091F"/>
    <w:rsid w:val="00D92726"/>
    <w:rsid w:val="00D9768D"/>
    <w:rsid w:val="00DA1A05"/>
    <w:rsid w:val="00DA2C2C"/>
    <w:rsid w:val="00DA3215"/>
    <w:rsid w:val="00DA3BCA"/>
    <w:rsid w:val="00DA5EFD"/>
    <w:rsid w:val="00DB7EEB"/>
    <w:rsid w:val="00DC0A54"/>
    <w:rsid w:val="00DC7402"/>
    <w:rsid w:val="00DE52AF"/>
    <w:rsid w:val="00DE65F6"/>
    <w:rsid w:val="00DE67BF"/>
    <w:rsid w:val="00DF3CED"/>
    <w:rsid w:val="00DF56D1"/>
    <w:rsid w:val="00DF5931"/>
    <w:rsid w:val="00DF67C5"/>
    <w:rsid w:val="00E00735"/>
    <w:rsid w:val="00E025C0"/>
    <w:rsid w:val="00E1185C"/>
    <w:rsid w:val="00E1256D"/>
    <w:rsid w:val="00E15338"/>
    <w:rsid w:val="00E15CF3"/>
    <w:rsid w:val="00E202F0"/>
    <w:rsid w:val="00E20B83"/>
    <w:rsid w:val="00E22F06"/>
    <w:rsid w:val="00E271CE"/>
    <w:rsid w:val="00E273C1"/>
    <w:rsid w:val="00E306A1"/>
    <w:rsid w:val="00E314E9"/>
    <w:rsid w:val="00E31898"/>
    <w:rsid w:val="00E31989"/>
    <w:rsid w:val="00E32ECC"/>
    <w:rsid w:val="00E35320"/>
    <w:rsid w:val="00E36544"/>
    <w:rsid w:val="00E37AF1"/>
    <w:rsid w:val="00E4051B"/>
    <w:rsid w:val="00E40789"/>
    <w:rsid w:val="00E43BD8"/>
    <w:rsid w:val="00E459D9"/>
    <w:rsid w:val="00E45E1E"/>
    <w:rsid w:val="00E471A5"/>
    <w:rsid w:val="00E4724A"/>
    <w:rsid w:val="00E47804"/>
    <w:rsid w:val="00E53A88"/>
    <w:rsid w:val="00E54A68"/>
    <w:rsid w:val="00E55BD0"/>
    <w:rsid w:val="00E56077"/>
    <w:rsid w:val="00E56551"/>
    <w:rsid w:val="00E56D53"/>
    <w:rsid w:val="00E624F6"/>
    <w:rsid w:val="00E655AC"/>
    <w:rsid w:val="00E66C4B"/>
    <w:rsid w:val="00E67155"/>
    <w:rsid w:val="00E707E3"/>
    <w:rsid w:val="00E726A3"/>
    <w:rsid w:val="00E75873"/>
    <w:rsid w:val="00E84AE5"/>
    <w:rsid w:val="00E84B0F"/>
    <w:rsid w:val="00E8593D"/>
    <w:rsid w:val="00E86287"/>
    <w:rsid w:val="00E86BE8"/>
    <w:rsid w:val="00E86C62"/>
    <w:rsid w:val="00E873E6"/>
    <w:rsid w:val="00E9249A"/>
    <w:rsid w:val="00E93664"/>
    <w:rsid w:val="00E95F15"/>
    <w:rsid w:val="00E96339"/>
    <w:rsid w:val="00E96344"/>
    <w:rsid w:val="00E9736D"/>
    <w:rsid w:val="00EA01D4"/>
    <w:rsid w:val="00EA077F"/>
    <w:rsid w:val="00EA0F10"/>
    <w:rsid w:val="00EA394C"/>
    <w:rsid w:val="00EA5E3D"/>
    <w:rsid w:val="00EA614D"/>
    <w:rsid w:val="00EA712A"/>
    <w:rsid w:val="00EA735F"/>
    <w:rsid w:val="00EB1508"/>
    <w:rsid w:val="00EB1D6D"/>
    <w:rsid w:val="00EB240E"/>
    <w:rsid w:val="00EB2A6B"/>
    <w:rsid w:val="00EB2BFE"/>
    <w:rsid w:val="00EB6AAE"/>
    <w:rsid w:val="00EB75F2"/>
    <w:rsid w:val="00EB799E"/>
    <w:rsid w:val="00EB7B10"/>
    <w:rsid w:val="00EC15DD"/>
    <w:rsid w:val="00EC15E7"/>
    <w:rsid w:val="00EC2E65"/>
    <w:rsid w:val="00EC5841"/>
    <w:rsid w:val="00EC5DE2"/>
    <w:rsid w:val="00EC6518"/>
    <w:rsid w:val="00EC65FA"/>
    <w:rsid w:val="00EC7C11"/>
    <w:rsid w:val="00ED03AB"/>
    <w:rsid w:val="00ED1AC8"/>
    <w:rsid w:val="00ED2E5D"/>
    <w:rsid w:val="00ED4633"/>
    <w:rsid w:val="00ED6915"/>
    <w:rsid w:val="00EE48A8"/>
    <w:rsid w:val="00EE5078"/>
    <w:rsid w:val="00EE5E46"/>
    <w:rsid w:val="00EE64DA"/>
    <w:rsid w:val="00EF04F8"/>
    <w:rsid w:val="00EF18E1"/>
    <w:rsid w:val="00EF2FCF"/>
    <w:rsid w:val="00EF77AA"/>
    <w:rsid w:val="00EF7973"/>
    <w:rsid w:val="00F10390"/>
    <w:rsid w:val="00F11D42"/>
    <w:rsid w:val="00F138F0"/>
    <w:rsid w:val="00F1426E"/>
    <w:rsid w:val="00F1503D"/>
    <w:rsid w:val="00F151C5"/>
    <w:rsid w:val="00F174E3"/>
    <w:rsid w:val="00F2069D"/>
    <w:rsid w:val="00F23D0E"/>
    <w:rsid w:val="00F23D80"/>
    <w:rsid w:val="00F248FD"/>
    <w:rsid w:val="00F41AB6"/>
    <w:rsid w:val="00F513DB"/>
    <w:rsid w:val="00F53384"/>
    <w:rsid w:val="00F63898"/>
    <w:rsid w:val="00F6591E"/>
    <w:rsid w:val="00F665F3"/>
    <w:rsid w:val="00F6753C"/>
    <w:rsid w:val="00F70566"/>
    <w:rsid w:val="00F74849"/>
    <w:rsid w:val="00F74C30"/>
    <w:rsid w:val="00F83C7E"/>
    <w:rsid w:val="00F849ED"/>
    <w:rsid w:val="00F8639A"/>
    <w:rsid w:val="00F93B76"/>
    <w:rsid w:val="00F96256"/>
    <w:rsid w:val="00F971D1"/>
    <w:rsid w:val="00FA20A0"/>
    <w:rsid w:val="00FA4156"/>
    <w:rsid w:val="00FA49A7"/>
    <w:rsid w:val="00FB7696"/>
    <w:rsid w:val="00FC0C38"/>
    <w:rsid w:val="00FC1794"/>
    <w:rsid w:val="00FC372B"/>
    <w:rsid w:val="00FC7741"/>
    <w:rsid w:val="00FD22B3"/>
    <w:rsid w:val="00FD72CC"/>
    <w:rsid w:val="00FD74EE"/>
    <w:rsid w:val="00FE1F74"/>
    <w:rsid w:val="00FE2925"/>
    <w:rsid w:val="00FE2A94"/>
    <w:rsid w:val="00FF3113"/>
    <w:rsid w:val="00FF38BE"/>
    <w:rsid w:val="00FF52BB"/>
    <w:rsid w:val="00FF58A3"/>
    <w:rsid w:val="00FF6144"/>
    <w:rsid w:val="00FF6AB2"/>
    <w:rsid w:val="01370DD3"/>
    <w:rsid w:val="061E27C7"/>
    <w:rsid w:val="08995803"/>
    <w:rsid w:val="0ACC3045"/>
    <w:rsid w:val="0AE470C6"/>
    <w:rsid w:val="0C06354B"/>
    <w:rsid w:val="12383083"/>
    <w:rsid w:val="145A6CB7"/>
    <w:rsid w:val="14654CC2"/>
    <w:rsid w:val="1AB00BFE"/>
    <w:rsid w:val="1C2C79CC"/>
    <w:rsid w:val="1D471131"/>
    <w:rsid w:val="1D8E7637"/>
    <w:rsid w:val="1EAD229E"/>
    <w:rsid w:val="1FCC6540"/>
    <w:rsid w:val="203C5BC9"/>
    <w:rsid w:val="216216C3"/>
    <w:rsid w:val="219F0F6C"/>
    <w:rsid w:val="247C46E2"/>
    <w:rsid w:val="285B7ADE"/>
    <w:rsid w:val="29FA690E"/>
    <w:rsid w:val="2E32458D"/>
    <w:rsid w:val="31C041E2"/>
    <w:rsid w:val="33DB1E51"/>
    <w:rsid w:val="350E6B48"/>
    <w:rsid w:val="35D970DD"/>
    <w:rsid w:val="3642634D"/>
    <w:rsid w:val="423F0807"/>
    <w:rsid w:val="45752144"/>
    <w:rsid w:val="465E4B2C"/>
    <w:rsid w:val="48DC7FB4"/>
    <w:rsid w:val="4A275D69"/>
    <w:rsid w:val="4A474152"/>
    <w:rsid w:val="52052E7E"/>
    <w:rsid w:val="538C52F9"/>
    <w:rsid w:val="53E67249"/>
    <w:rsid w:val="548D21E3"/>
    <w:rsid w:val="56E54870"/>
    <w:rsid w:val="579330C2"/>
    <w:rsid w:val="57FB78A3"/>
    <w:rsid w:val="5B4D3FE9"/>
    <w:rsid w:val="5D2813C1"/>
    <w:rsid w:val="5FD90AE9"/>
    <w:rsid w:val="608C4071"/>
    <w:rsid w:val="60AE7F5F"/>
    <w:rsid w:val="643A1FDF"/>
    <w:rsid w:val="69F424B1"/>
    <w:rsid w:val="6B332BFD"/>
    <w:rsid w:val="6C6D6E84"/>
    <w:rsid w:val="6CA466E0"/>
    <w:rsid w:val="6EA63229"/>
    <w:rsid w:val="6EA92727"/>
    <w:rsid w:val="70E018AE"/>
    <w:rsid w:val="77A5320D"/>
    <w:rsid w:val="780F0439"/>
    <w:rsid w:val="7FC9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19&#24180;&#24230;&#21508;&#31867;&#26696;&#20214;&#25910;&#32467;&#23384;&#32479;&#35745;&#24180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6032;&#24314;%20XLS%20&#24037;&#20316;&#34920;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1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2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6032;&#24314;%20XLS%20&#24037;&#20316;&#34920;.xls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3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100"/>
              <a:t>1</a:t>
            </a:r>
            <a:r>
              <a:rPr lang="zh-CN" altLang="en-US" sz="1100"/>
              <a:t>、全年收结案与发改案件趋势图</a:t>
            </a:r>
            <a:endParaRPr lang="zh-CN" altLang="en-US" sz="1100" b="0" i="0" u="none" strike="noStrike" baseline="0">
              <a:solidFill>
                <a:srgbClr val="595959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3789915966386601"/>
          <c:y val="0.122873345935728"/>
          <c:w val="0.83983193277310897"/>
          <c:h val="0.65722632754768895"/>
        </c:manualLayout>
      </c:layout>
      <c:lineChart>
        <c:grouping val="standard"/>
        <c:varyColors val="0"/>
        <c:ser>
          <c:idx val="0"/>
          <c:order val="0"/>
          <c:tx>
            <c:strRef>
              <c:f>[2019年度各类案件收结存统计年表.xls]Sheet2!$Q$7</c:f>
              <c:strCache>
                <c:ptCount val="1"/>
                <c:pt idx="0">
                  <c:v>收案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 cap="flat" cmpd="sng" algn="ctr">
                <a:solidFill>
                  <a:schemeClr val="accent1"/>
                </a:solidFill>
                <a:prstDash val="solid"/>
                <a:round/>
              </a:ln>
              <a:effectLst/>
            </c:spPr>
          </c:marker>
          <c:cat>
            <c:strRef>
              <c:f>[2019年度各类案件收结存统计年表.xls]Sheet2!$R$6:$V$6</c:f>
              <c:strCache>
                <c:ptCount val="5"/>
                <c:pt idx="0">
                  <c:v>一季度</c:v>
                </c:pt>
                <c:pt idx="1">
                  <c:v>二季度</c:v>
                </c:pt>
                <c:pt idx="2">
                  <c:v>三季度</c:v>
                </c:pt>
                <c:pt idx="3">
                  <c:v>四季度</c:v>
                </c:pt>
                <c:pt idx="4">
                  <c:v>全年</c:v>
                </c:pt>
              </c:strCache>
            </c:strRef>
          </c:cat>
          <c:val>
            <c:numRef>
              <c:f>[2019年度各类案件收结存统计年表.xls]Sheet2!$R$7:$V$7</c:f>
              <c:numCache>
                <c:formatCode>General</c:formatCode>
                <c:ptCount val="5"/>
                <c:pt idx="0">
                  <c:v>2199</c:v>
                </c:pt>
                <c:pt idx="1">
                  <c:v>2276</c:v>
                </c:pt>
                <c:pt idx="2">
                  <c:v>1908</c:v>
                </c:pt>
                <c:pt idx="3">
                  <c:v>903</c:v>
                </c:pt>
                <c:pt idx="4">
                  <c:v>7286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[2019年度各类案件收结存统计年表.xls]Sheet2!$Q$8</c:f>
              <c:strCache>
                <c:ptCount val="1"/>
                <c:pt idx="0">
                  <c:v>结案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 cap="flat" cmpd="sng" algn="ctr">
                <a:solidFill>
                  <a:schemeClr val="accent2"/>
                </a:solidFill>
                <a:prstDash val="solid"/>
                <a:round/>
              </a:ln>
              <a:effectLst/>
            </c:spPr>
          </c:marker>
          <c:cat>
            <c:strRef>
              <c:f>[2019年度各类案件收结存统计年表.xls]Sheet2!$R$6:$V$6</c:f>
              <c:strCache>
                <c:ptCount val="5"/>
                <c:pt idx="0">
                  <c:v>一季度</c:v>
                </c:pt>
                <c:pt idx="1">
                  <c:v>二季度</c:v>
                </c:pt>
                <c:pt idx="2">
                  <c:v>三季度</c:v>
                </c:pt>
                <c:pt idx="3">
                  <c:v>四季度</c:v>
                </c:pt>
                <c:pt idx="4">
                  <c:v>全年</c:v>
                </c:pt>
              </c:strCache>
            </c:strRef>
          </c:cat>
          <c:val>
            <c:numRef>
              <c:f>[2019年度各类案件收结存统计年表.xls]Sheet2!$R$8:$V$8</c:f>
              <c:numCache>
                <c:formatCode>General</c:formatCode>
                <c:ptCount val="5"/>
                <c:pt idx="0">
                  <c:v>1595</c:v>
                </c:pt>
                <c:pt idx="1">
                  <c:v>2127</c:v>
                </c:pt>
                <c:pt idx="2">
                  <c:v>2241</c:v>
                </c:pt>
                <c:pt idx="3">
                  <c:v>2332</c:v>
                </c:pt>
                <c:pt idx="4">
                  <c:v>8295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[2019年度各类案件收结存统计年表.xls]Sheet2!$Q$9</c:f>
              <c:strCache>
                <c:ptCount val="1"/>
                <c:pt idx="0">
                  <c:v>上诉</c:v>
                </c:pt>
              </c:strCache>
            </c:strRef>
          </c:tx>
          <c:spPr>
            <a:ln w="28575" cap="rnd" cmpd="sng" algn="ctr">
              <a:solidFill>
                <a:schemeClr val="accent3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 cap="flat" cmpd="sng" algn="ctr">
                <a:solidFill>
                  <a:schemeClr val="accent3"/>
                </a:solidFill>
                <a:prstDash val="solid"/>
                <a:round/>
              </a:ln>
              <a:effectLst/>
            </c:spPr>
          </c:marker>
          <c:cat>
            <c:strRef>
              <c:f>[2019年度各类案件收结存统计年表.xls]Sheet2!$R$6:$V$6</c:f>
              <c:strCache>
                <c:ptCount val="5"/>
                <c:pt idx="0">
                  <c:v>一季度</c:v>
                </c:pt>
                <c:pt idx="1">
                  <c:v>二季度</c:v>
                </c:pt>
                <c:pt idx="2">
                  <c:v>三季度</c:v>
                </c:pt>
                <c:pt idx="3">
                  <c:v>四季度</c:v>
                </c:pt>
                <c:pt idx="4">
                  <c:v>全年</c:v>
                </c:pt>
              </c:strCache>
            </c:strRef>
          </c:cat>
          <c:val>
            <c:numRef>
              <c:f>[2019年度各类案件收结存统计年表.xls]Sheet2!$R$9:$V$9</c:f>
              <c:numCache>
                <c:formatCode>General</c:formatCode>
                <c:ptCount val="5"/>
                <c:pt idx="0">
                  <c:v>102</c:v>
                </c:pt>
                <c:pt idx="1">
                  <c:v>139</c:v>
                </c:pt>
                <c:pt idx="2">
                  <c:v>121</c:v>
                </c:pt>
                <c:pt idx="3">
                  <c:v>146</c:v>
                </c:pt>
                <c:pt idx="4">
                  <c:v>508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[2019年度各类案件收结存统计年表.xls]Sheet2!$Q$10</c:f>
              <c:strCache>
                <c:ptCount val="1"/>
                <c:pt idx="0">
                  <c:v>发改</c:v>
                </c:pt>
              </c:strCache>
            </c:strRef>
          </c:tx>
          <c:cat>
            <c:strRef>
              <c:f>[2019年度各类案件收结存统计年表.xls]Sheet2!$R$6:$V$6</c:f>
              <c:strCache>
                <c:ptCount val="5"/>
                <c:pt idx="0">
                  <c:v>一季度</c:v>
                </c:pt>
                <c:pt idx="1">
                  <c:v>二季度</c:v>
                </c:pt>
                <c:pt idx="2">
                  <c:v>三季度</c:v>
                </c:pt>
                <c:pt idx="3">
                  <c:v>四季度</c:v>
                </c:pt>
                <c:pt idx="4">
                  <c:v>全年</c:v>
                </c:pt>
              </c:strCache>
            </c:strRef>
          </c:cat>
          <c:val>
            <c:numRef>
              <c:f>[2019年度各类案件收结存统计年表.xls]Sheet2!$R$10:$V$10</c:f>
              <c:numCache>
                <c:formatCode>General</c:formatCode>
                <c:ptCount val="5"/>
                <c:pt idx="0">
                  <c:v>18</c:v>
                </c:pt>
                <c:pt idx="1">
                  <c:v>14</c:v>
                </c:pt>
                <c:pt idx="2">
                  <c:v>13</c:v>
                </c:pt>
                <c:pt idx="3">
                  <c:v>25</c:v>
                </c:pt>
                <c:pt idx="4">
                  <c:v>70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9312000"/>
        <c:axId val="99313536"/>
      </c:lineChart>
      <c:catAx>
        <c:axId val="9931200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9313536"/>
        <c:crosses val="autoZero"/>
        <c:auto val="1"/>
        <c:lblAlgn val="ctr"/>
        <c:lblOffset val="100"/>
        <c:noMultiLvlLbl val="0"/>
      </c:catAx>
      <c:valAx>
        <c:axId val="99313536"/>
        <c:scaling>
          <c:logBase val="10"/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9931200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 rot="0" spcFirstLastPara="0" vertOverflow="ellipsis" vert="horz" wrap="square" anchor="ctr" anchorCtr="1"/>
          <a:lstStyle/>
          <a:p>
            <a:pPr rtl="0"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200"/>
              <a:t>6</a:t>
            </a:r>
            <a:r>
              <a:rPr lang="zh-CN" altLang="en-US" sz="1200"/>
              <a:t>、被发改理由组成</a:t>
            </a:r>
          </a:p>
        </c:rich>
      </c:tx>
      <c:layout>
        <c:manualLayout>
          <c:xMode val="edge"/>
          <c:yMode val="edge"/>
          <c:x val="4.1666666666666701E-3"/>
          <c:y val="2.430555555555560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14236967325911"/>
                  <c:y val="-3.198562904921500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1994572060337398E-2"/>
                  <c:y val="2.057428019417310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1261261261261302E-2"/>
                  <c:y val="-0.23824981111432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09430979501439E-2"/>
                  <c:y val="2.581353654765580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工作表.xls]Sheet2'!$J$2:$J$5</c:f>
              <c:strCache>
                <c:ptCount val="4"/>
                <c:pt idx="0">
                  <c:v>因出现新证据</c:v>
                </c:pt>
                <c:pt idx="1">
                  <c:v>原审程序违法</c:v>
                </c:pt>
                <c:pt idx="2">
                  <c:v>原审认定事实不清</c:v>
                </c:pt>
                <c:pt idx="3">
                  <c:v>原审适用法律错误</c:v>
                </c:pt>
              </c:strCache>
            </c:strRef>
          </c:cat>
          <c:val>
            <c:numRef>
              <c:f>'[新建 XLS 工作表.xls]Sheet2'!$K$2:$K$5</c:f>
              <c:numCache>
                <c:formatCode>General</c:formatCode>
                <c:ptCount val="4"/>
                <c:pt idx="0">
                  <c:v>7</c:v>
                </c:pt>
                <c:pt idx="1">
                  <c:v>4</c:v>
                </c:pt>
                <c:pt idx="2">
                  <c:v>45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200" b="0"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7</a:t>
            </a:r>
            <a:r>
              <a:rPr lang="zh-CN" altLang="en-US" sz="1200" b="0"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、发回重审案件分布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Sheet2!$A$2</c:f>
              <c:strCache>
                <c:ptCount val="1"/>
                <c:pt idx="0">
                  <c:v>原审认定事实不清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Sheet2!$B$1:$D$1</c:f>
              <c:strCache>
                <c:ptCount val="3"/>
                <c:pt idx="0">
                  <c:v>民事</c:v>
                </c:pt>
                <c:pt idx="1">
                  <c:v>刑事</c:v>
                </c:pt>
                <c:pt idx="2">
                  <c:v>执行异议</c:v>
                </c:pt>
              </c:strCache>
            </c:strRef>
          </c:cat>
          <c:val>
            <c:numRef>
              <c:f>Sheet2!$B$2:$D$2</c:f>
              <c:numCache>
                <c:formatCode>General</c:formatCode>
                <c:ptCount val="3"/>
                <c:pt idx="0">
                  <c:v>20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Sheet2!$A$3</c:f>
              <c:strCache>
                <c:ptCount val="1"/>
                <c:pt idx="0">
                  <c:v>原审程序违法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Sheet2!$B$1:$D$1</c:f>
              <c:strCache>
                <c:ptCount val="3"/>
                <c:pt idx="0">
                  <c:v>民事</c:v>
                </c:pt>
                <c:pt idx="1">
                  <c:v>刑事</c:v>
                </c:pt>
                <c:pt idx="2">
                  <c:v>执行异议</c:v>
                </c:pt>
              </c:strCache>
            </c:strRef>
          </c:cat>
          <c:val>
            <c:numRef>
              <c:f>Sheet2!$B$3:$D$3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Sheet2!$A$4</c:f>
              <c:strCache>
                <c:ptCount val="1"/>
                <c:pt idx="0">
                  <c:v>出现新证据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Sheet2!$B$1:$D$1</c:f>
              <c:strCache>
                <c:ptCount val="3"/>
                <c:pt idx="0">
                  <c:v>民事</c:v>
                </c:pt>
                <c:pt idx="1">
                  <c:v>刑事</c:v>
                </c:pt>
                <c:pt idx="2">
                  <c:v>执行异议</c:v>
                </c:pt>
              </c:strCache>
            </c:strRef>
          </c:cat>
          <c:val>
            <c:numRef>
              <c:f>Sheet2!$B$4:$D$4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246720"/>
        <c:axId val="129248256"/>
      </c:barChart>
      <c:catAx>
        <c:axId val="1292467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9248256"/>
        <c:crosses val="autoZero"/>
        <c:auto val="1"/>
        <c:lblAlgn val="ctr"/>
        <c:lblOffset val="100"/>
        <c:noMultiLvlLbl val="0"/>
      </c:catAx>
      <c:valAx>
        <c:axId val="12924825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prstDash val="solid"/>
              <a:round/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9246720"/>
        <c:crosses val="autoZero"/>
        <c:crossBetween val="between"/>
      </c:valAx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200" b="0"/>
              <a:t>8</a:t>
            </a:r>
            <a:r>
              <a:rPr lang="zh-CN" altLang="en-US" sz="1200" b="0"/>
              <a:t>、发回重审民事案由分布</a:t>
            </a:r>
          </a:p>
        </c:rich>
      </c:tx>
      <c:layout>
        <c:manualLayout>
          <c:xMode val="edge"/>
          <c:yMode val="edge"/>
          <c:x val="2.1017065628221299E-2"/>
          <c:y val="6.1412487205731803E-3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Pt>
            <c:idx val="12"/>
            <c:bubble3D val="0"/>
          </c:dPt>
          <c:dLbls>
            <c:dLbl>
              <c:idx val="0"/>
              <c:layout>
                <c:manualLayout>
                  <c:x val="0.132506516390752"/>
                  <c:y val="3.455441477625890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zh-CN" altLang="en-US"/>
                      <a:t>承包地征收补偿费用分配纠纷 </a:t>
                    </a:r>
                    <a:r>
                      <a:rPr lang="en-US" altLang="zh-CN"/>
                      <a:t>, 1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7.6868837722233699E-2"/>
                  <c:y val="-3.1137586326658601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1.1567748397766701E-2"/>
                  <c:y val="1.4043438285575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cap="none" spc="0" normalizeH="0" baseline="0">
                    <a:solidFill>
                      <a:schemeClr val="tx1"/>
                    </a:solidFill>
                    <a:uFill>
                      <a:solidFill>
                        <a:schemeClr val="tx1"/>
                      </a:solidFill>
                    </a:u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Sheet2!$A$2:$A$14</c:f>
              <c:strCache>
                <c:ptCount val="13"/>
                <c:pt idx="0">
                  <c:v>离婚后财产纠纷 </c:v>
                </c:pt>
                <c:pt idx="1">
                  <c:v>离婚纠纷</c:v>
                </c:pt>
                <c:pt idx="2">
                  <c:v>房屋租赁合同纠纷 </c:v>
                </c:pt>
                <c:pt idx="3">
                  <c:v>买卖合同纠纷 </c:v>
                </c:pt>
                <c:pt idx="4">
                  <c:v>财产保险合同纠纷 </c:v>
                </c:pt>
                <c:pt idx="5">
                  <c:v>机动车交通事故责任纠纷 </c:v>
                </c:pt>
                <c:pt idx="6">
                  <c:v>健康权纠纷 </c:v>
                </c:pt>
                <c:pt idx="7">
                  <c:v>合伙协议纠纷</c:v>
                </c:pt>
                <c:pt idx="8">
                  <c:v>确认合同效力纠纷</c:v>
                </c:pt>
                <c:pt idx="9">
                  <c:v>恢复原状纠纷</c:v>
                </c:pt>
                <c:pt idx="10">
                  <c:v>金融借款合同纠纷 </c:v>
                </c:pt>
                <c:pt idx="11">
                  <c:v>分期付款买卖合同纠纷 </c:v>
                </c:pt>
                <c:pt idx="12">
                  <c:v>建设工程施工合同纠纷 </c:v>
                </c:pt>
              </c:strCache>
            </c:strRef>
          </c:cat>
          <c:val>
            <c:numRef>
              <c:f>Sheet2!$B$2:$B$14</c:f>
              <c:numCache>
                <c:formatCode>General</c:formatCode>
                <c:ptCount val="13"/>
                <c:pt idx="0">
                  <c:v>1</c:v>
                </c:pt>
                <c:pt idx="1">
                  <c:v>5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200"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9</a:t>
            </a:r>
            <a:r>
              <a:rPr lang="zh-CN" altLang="en-US" sz="1200"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、二审改判理由分布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'[新建 XLS 工作表.xls]Sheet2'!$A$28</c:f>
              <c:strCache>
                <c:ptCount val="1"/>
                <c:pt idx="0">
                  <c:v>原审认定事实不清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工作表.xls]Sheet2'!$B$27:$E$27</c:f>
              <c:strCache>
                <c:ptCount val="4"/>
                <c:pt idx="0">
                  <c:v>民事</c:v>
                </c:pt>
                <c:pt idx="1">
                  <c:v>刑事</c:v>
                </c:pt>
                <c:pt idx="2">
                  <c:v>行政</c:v>
                </c:pt>
                <c:pt idx="3">
                  <c:v>合计</c:v>
                </c:pt>
              </c:strCache>
            </c:strRef>
          </c:cat>
          <c:val>
            <c:numRef>
              <c:f>'[新建 XLS 工作表.xls]Sheet2'!$B$28:$E$28</c:f>
              <c:numCache>
                <c:formatCode>General</c:formatCode>
                <c:ptCount val="4"/>
                <c:pt idx="0">
                  <c:v>15</c:v>
                </c:pt>
                <c:pt idx="1">
                  <c:v>6</c:v>
                </c:pt>
                <c:pt idx="2">
                  <c:v>1</c:v>
                </c:pt>
                <c:pt idx="3">
                  <c:v>22</c:v>
                </c:pt>
              </c:numCache>
            </c:numRef>
          </c:val>
        </c:ser>
        <c:ser>
          <c:idx val="1"/>
          <c:order val="1"/>
          <c:tx>
            <c:strRef>
              <c:f>'[新建 XLS 工作表.xls]Sheet2'!$A$29</c:f>
              <c:strCache>
                <c:ptCount val="1"/>
                <c:pt idx="0">
                  <c:v>原审适用法律错误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工作表.xls]Sheet2'!$B$27:$E$27</c:f>
              <c:strCache>
                <c:ptCount val="4"/>
                <c:pt idx="0">
                  <c:v>民事</c:v>
                </c:pt>
                <c:pt idx="1">
                  <c:v>刑事</c:v>
                </c:pt>
                <c:pt idx="2">
                  <c:v>行政</c:v>
                </c:pt>
                <c:pt idx="3">
                  <c:v>合计</c:v>
                </c:pt>
              </c:strCache>
            </c:strRef>
          </c:cat>
          <c:val>
            <c:numRef>
              <c:f>'[新建 XLS 工作表.xls]Sheet2'!$B$29:$E$29</c:f>
              <c:numCache>
                <c:formatCode>General</c:formatCode>
                <c:ptCount val="4"/>
                <c:pt idx="0">
                  <c:v>12</c:v>
                </c:pt>
                <c:pt idx="1">
                  <c:v>0</c:v>
                </c:pt>
                <c:pt idx="2">
                  <c:v>2</c:v>
                </c:pt>
                <c:pt idx="3">
                  <c:v>14</c:v>
                </c:pt>
              </c:numCache>
            </c:numRef>
          </c:val>
        </c:ser>
        <c:ser>
          <c:idx val="2"/>
          <c:order val="2"/>
          <c:tx>
            <c:strRef>
              <c:f>'[新建 XLS 工作表.xls]Sheet2'!$A$30</c:f>
              <c:strCache>
                <c:ptCount val="1"/>
                <c:pt idx="0">
                  <c:v>二审期间出现新证据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 工作表.xls]Sheet2'!$B$27:$E$27</c:f>
              <c:strCache>
                <c:ptCount val="4"/>
                <c:pt idx="0">
                  <c:v>民事</c:v>
                </c:pt>
                <c:pt idx="1">
                  <c:v>刑事</c:v>
                </c:pt>
                <c:pt idx="2">
                  <c:v>行政</c:v>
                </c:pt>
                <c:pt idx="3">
                  <c:v>合计</c:v>
                </c:pt>
              </c:strCache>
            </c:strRef>
          </c:cat>
          <c:val>
            <c:numRef>
              <c:f>'[新建 XLS 工作表.xls]Sheet2'!$B$30:$E$30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31893120"/>
        <c:axId val="137445376"/>
      </c:barChart>
      <c:catAx>
        <c:axId val="1318931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37445376"/>
        <c:crosses val="autoZero"/>
        <c:auto val="1"/>
        <c:lblAlgn val="ctr"/>
        <c:lblOffset val="100"/>
        <c:noMultiLvlLbl val="0"/>
      </c:catAx>
      <c:valAx>
        <c:axId val="137445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31893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200" b="0"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10</a:t>
            </a:r>
            <a:r>
              <a:rPr lang="zh-CN" altLang="en-US" sz="1200" b="0"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、改判案件民事案由分布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Pt>
            <c:idx val="12"/>
            <c:bubble3D val="0"/>
          </c:dPt>
          <c:dPt>
            <c:idx val="13"/>
            <c:bubble3D val="0"/>
          </c:dPt>
          <c:dPt>
            <c:idx val="14"/>
            <c:bubble3D val="0"/>
          </c:dPt>
          <c:dPt>
            <c:idx val="15"/>
            <c:bubble3D val="0"/>
          </c:dPt>
          <c:dLbls>
            <c:dLbl>
              <c:idx val="0"/>
              <c:layout>
                <c:manualLayout>
                  <c:x val="-0.182916527035107"/>
                  <c:y val="2.993637128927109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cap="none" spc="0" normalizeH="0" baseline="0">
                    <a:solidFill>
                      <a:schemeClr val="tx1"/>
                    </a:solidFill>
                    <a:uFill>
                      <a:solidFill>
                        <a:schemeClr val="tx1"/>
                      </a:solidFill>
                    </a:u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Sheet2!$A$2:$A$17</c:f>
              <c:strCache>
                <c:ptCount val="16"/>
                <c:pt idx="0">
                  <c:v>小额借款合同纠纷 </c:v>
                </c:pt>
                <c:pt idx="1">
                  <c:v>同居关系析产纠纷</c:v>
                </c:pt>
                <c:pt idx="2">
                  <c:v>生命权纠纷 </c:v>
                </c:pt>
                <c:pt idx="3">
                  <c:v>经济补偿金纠纷</c:v>
                </c:pt>
                <c:pt idx="4">
                  <c:v>健康权纠纷 </c:v>
                </c:pt>
                <c:pt idx="5">
                  <c:v>建设工程施工合同纠纷 </c:v>
                </c:pt>
                <c:pt idx="6">
                  <c:v>抚养费纠纷 </c:v>
                </c:pt>
                <c:pt idx="7">
                  <c:v>分期付款买卖合同纠纷 </c:v>
                </c:pt>
                <c:pt idx="8">
                  <c:v>承揽合同纠纷 </c:v>
                </c:pt>
                <c:pt idx="9">
                  <c:v>承包地征收补偿费用分配纠纷</c:v>
                </c:pt>
                <c:pt idx="10">
                  <c:v>民间借贷纠纷 </c:v>
                </c:pt>
                <c:pt idx="11">
                  <c:v>劳动争议 </c:v>
                </c:pt>
                <c:pt idx="12">
                  <c:v>机动车交通事故责任纠纷</c:v>
                </c:pt>
                <c:pt idx="13">
                  <c:v>离婚纠纷 </c:v>
                </c:pt>
                <c:pt idx="14">
                  <c:v>财产保险合同纠纷 </c:v>
                </c:pt>
                <c:pt idx="15">
                  <c:v>买卖合同纠纷 </c:v>
                </c:pt>
              </c:strCache>
            </c:strRef>
          </c:cat>
          <c:val>
            <c:numRef>
              <c:f>Sheet2!$B$2:$B$17</c:f>
              <c:numCache>
                <c:formatCode>General</c:formatCode>
                <c:ptCount val="1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4</c:v>
                </c:pt>
                <c:pt idx="14">
                  <c:v>4</c:v>
                </c:pt>
                <c:pt idx="1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200" b="0"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11</a:t>
            </a:r>
            <a:r>
              <a:rPr lang="zh-CN" altLang="en-US" sz="1200" b="0"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、改判案件刑事案由分布</a:t>
            </a:r>
          </a:p>
        </c:rich>
      </c:tx>
      <c:layout>
        <c:manualLayout>
          <c:xMode val="edge"/>
          <c:yMode val="edge"/>
          <c:x val="0.30037313432835799"/>
          <c:y val="5.3210358283079101E-3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4"/>
              <c:layout>
                <c:manualLayout>
                  <c:x val="-0.197151294981605"/>
                  <c:y val="8.205474518400690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发改民事案由!$G$2:$G$6</c:f>
              <c:strCache>
                <c:ptCount val="5"/>
                <c:pt idx="0">
                  <c:v>贪污罪</c:v>
                </c:pt>
                <c:pt idx="1">
                  <c:v>挪用公款罪</c:v>
                </c:pt>
                <c:pt idx="2">
                  <c:v>故意伤害罪</c:v>
                </c:pt>
                <c:pt idx="3">
                  <c:v>故意毁坏财物罪</c:v>
                </c:pt>
                <c:pt idx="4">
                  <c:v>骗取贷款、票据承兑、金融票证罪</c:v>
                </c:pt>
              </c:strCache>
            </c:strRef>
          </c:cat>
          <c:val>
            <c:numRef>
              <c:f>发改民事案由!$H$2:$H$6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648</Words>
  <Characters>3700</Characters>
  <Application>Microsoft Office Word</Application>
  <DocSecurity>0</DocSecurity>
  <Lines>30</Lines>
  <Paragraphs>8</Paragraphs>
  <ScaleCrop>false</ScaleCrop>
  <Company>Sky123.Org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张玉龙</dc:creator>
  <cp:lastModifiedBy>张玉龙</cp:lastModifiedBy>
  <cp:revision>2</cp:revision>
  <cp:lastPrinted>2020-02-27T08:12:00Z</cp:lastPrinted>
  <dcterms:created xsi:type="dcterms:W3CDTF">2020-03-06T01:19:00Z</dcterms:created>
  <dcterms:modified xsi:type="dcterms:W3CDTF">2020-03-06T01:19:00Z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